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4BFFF99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EA537A6">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6888561E">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项目七   财产税计算与申报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二</w:t>
            </w:r>
            <w:r>
              <w:rPr>
                <w:rFonts w:hint="eastAsia" w:ascii="微软雅黑" w:hAnsi="微软雅黑"/>
                <w:b/>
                <w:color w:val="1F4E79"/>
                <w:sz w:val="32"/>
                <w:szCs w:val="30"/>
              </w:rPr>
              <w:t>）</w:t>
            </w:r>
          </w:p>
        </w:tc>
      </w:tr>
      <w:tr w14:paraId="0F1F733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24A909B">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2AA2E420">
            <w:pPr>
              <w:pStyle w:val="4"/>
              <w:ind w:firstLine="180" w:firstLineChars="100"/>
            </w:pPr>
            <w:r>
              <w:t>2课时</w:t>
            </w:r>
            <w:r>
              <w:rPr>
                <w:rFonts w:hint="eastAsia"/>
              </w:rPr>
              <w:t>（</w:t>
            </w:r>
            <w:r>
              <w:t>90</w:t>
            </w:r>
            <w:r>
              <w:rPr>
                <w:rFonts w:hint="eastAsia"/>
              </w:rPr>
              <w:t xml:space="preserve"> min）</w:t>
            </w:r>
          </w:p>
        </w:tc>
      </w:tr>
      <w:tr w14:paraId="50F2848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2B49D5C">
            <w:pPr>
              <w:pStyle w:val="4"/>
              <w:jc w:val="center"/>
            </w:pPr>
            <w:r>
              <w:rPr>
                <w:rFonts w:ascii="微软雅黑" w:hAnsi="微软雅黑"/>
                <w:b/>
              </w:rPr>
              <w:t>教学目标</w:t>
            </w:r>
          </w:p>
        </w:tc>
        <w:tc>
          <w:tcPr>
            <w:tcW w:w="8347" w:type="dxa"/>
            <w:shd w:val="clear" w:color="auto" w:fill="FFFFFF"/>
            <w:vAlign w:val="center"/>
          </w:tcPr>
          <w:p w14:paraId="711E8DAB">
            <w:pPr>
              <w:pStyle w:val="4"/>
              <w:ind w:firstLine="180" w:firstLineChars="100"/>
              <w:rPr>
                <w:rFonts w:ascii="微软雅黑" w:hAnsi="微软雅黑"/>
                <w:b/>
                <w:color w:val="833C0B"/>
              </w:rPr>
            </w:pPr>
            <w:r>
              <w:rPr>
                <w:rFonts w:hint="eastAsia" w:ascii="微软雅黑" w:hAnsi="微软雅黑"/>
                <w:b/>
                <w:color w:val="833C0B"/>
              </w:rPr>
              <w:t>知识技能目标：</w:t>
            </w:r>
          </w:p>
          <w:p w14:paraId="0FF7578C">
            <w:pPr>
              <w:pStyle w:val="4"/>
              <w:ind w:firstLine="360" w:firstLineChars="200"/>
            </w:pPr>
            <w:r>
              <w:rPr>
                <w:rFonts w:hint="eastAsia"/>
              </w:rPr>
              <w:t>（1）了解</w:t>
            </w:r>
            <w:r>
              <w:rPr>
                <w:rFonts w:hint="eastAsia"/>
                <w:lang w:val="en-US" w:eastAsia="zh-CN"/>
              </w:rPr>
              <w:t>车船</w:t>
            </w:r>
            <w:r>
              <w:rPr>
                <w:rFonts w:hint="eastAsia"/>
              </w:rPr>
              <w:t>税的概念。</w:t>
            </w:r>
          </w:p>
          <w:p w14:paraId="78377B8D">
            <w:pPr>
              <w:pStyle w:val="4"/>
              <w:ind w:firstLine="360" w:firstLineChars="200"/>
            </w:pPr>
            <w:r>
              <w:rPr>
                <w:rFonts w:hint="eastAsia"/>
              </w:rPr>
              <w:t>（2）掌握</w:t>
            </w:r>
            <w:r>
              <w:rPr>
                <w:rFonts w:hint="eastAsia"/>
                <w:lang w:val="en-US" w:eastAsia="zh-CN"/>
              </w:rPr>
              <w:t>车船</w:t>
            </w:r>
            <w:r>
              <w:rPr>
                <w:rFonts w:hint="eastAsia"/>
              </w:rPr>
              <w:t>税的纳税人、征税范围、税目和税率。</w:t>
            </w:r>
          </w:p>
          <w:p w14:paraId="303D134B">
            <w:pPr>
              <w:pStyle w:val="4"/>
              <w:ind w:firstLine="360" w:firstLineChars="200"/>
            </w:pPr>
            <w:r>
              <w:rPr>
                <w:rFonts w:hint="eastAsia"/>
              </w:rPr>
              <w:t>（3）掌握</w:t>
            </w:r>
            <w:r>
              <w:rPr>
                <w:rFonts w:hint="eastAsia"/>
                <w:lang w:val="en-US" w:eastAsia="zh-CN"/>
              </w:rPr>
              <w:t>车船</w:t>
            </w:r>
            <w:r>
              <w:rPr>
                <w:rFonts w:hint="eastAsia"/>
              </w:rPr>
              <w:t>税</w:t>
            </w:r>
            <w:r>
              <w:rPr>
                <w:rFonts w:hint="eastAsia"/>
                <w:lang w:val="en-US" w:eastAsia="zh-CN"/>
              </w:rPr>
              <w:t>应纳税额的计算</w:t>
            </w:r>
            <w:r>
              <w:rPr>
                <w:rFonts w:hint="eastAsia"/>
              </w:rPr>
              <w:t>。</w:t>
            </w:r>
          </w:p>
          <w:p w14:paraId="190B0749">
            <w:pPr>
              <w:pStyle w:val="4"/>
              <w:ind w:firstLine="360" w:firstLineChars="200"/>
            </w:pPr>
            <w:r>
              <w:rPr>
                <w:rFonts w:hint="eastAsia"/>
              </w:rPr>
              <w:t>（</w:t>
            </w:r>
            <w:r>
              <w:t>4</w:t>
            </w:r>
            <w:r>
              <w:rPr>
                <w:rFonts w:hint="eastAsia"/>
              </w:rPr>
              <w:t>）掌握</w:t>
            </w:r>
            <w:r>
              <w:rPr>
                <w:rFonts w:hint="eastAsia"/>
                <w:lang w:val="en-US" w:eastAsia="zh-CN"/>
              </w:rPr>
              <w:t>车船</w:t>
            </w:r>
            <w:r>
              <w:rPr>
                <w:rFonts w:hint="eastAsia"/>
              </w:rPr>
              <w:t>税</w:t>
            </w:r>
            <w:r>
              <w:rPr>
                <w:rFonts w:hint="eastAsia"/>
                <w:lang w:val="en-US" w:eastAsia="zh-CN"/>
              </w:rPr>
              <w:t>纳税申报</w:t>
            </w:r>
            <w:r>
              <w:rPr>
                <w:rFonts w:hint="eastAsia"/>
              </w:rPr>
              <w:t>。</w:t>
            </w:r>
          </w:p>
          <w:p w14:paraId="1EFF2340">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3E970BDE">
            <w:pPr>
              <w:pStyle w:val="4"/>
              <w:ind w:firstLine="360" w:firstLineChars="200"/>
            </w:pPr>
            <w:r>
              <w:rPr>
                <w:rFonts w:hint="eastAsia"/>
              </w:rPr>
              <w:t>树立依法纳税、自觉纳税、诚信纳税的意识。</w:t>
            </w:r>
          </w:p>
        </w:tc>
      </w:tr>
      <w:tr w14:paraId="31201C5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57276CA">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0DB07D4B">
            <w:pPr>
              <w:pStyle w:val="4"/>
              <w:ind w:firstLine="180" w:firstLineChars="100"/>
            </w:pPr>
            <w:r>
              <w:rPr>
                <w:rFonts w:hint="eastAsia" w:ascii="微软雅黑" w:hAnsi="微软雅黑"/>
                <w:b/>
                <w:color w:val="1F4E79"/>
              </w:rPr>
              <w:t>教学重点：</w:t>
            </w:r>
            <w:r>
              <w:rPr>
                <w:rFonts w:hint="eastAsia"/>
                <w:lang w:val="en-US" w:eastAsia="zh-CN"/>
              </w:rPr>
              <w:t>车船</w:t>
            </w:r>
            <w:r>
              <w:rPr>
                <w:rFonts w:hint="eastAsia"/>
              </w:rPr>
              <w:t>税的纳税人、征税范围、税目和税率</w:t>
            </w:r>
            <w:r>
              <w:rPr>
                <w:rFonts w:hint="eastAsia"/>
                <w:lang w:eastAsia="zh-CN"/>
              </w:rPr>
              <w:t>；</w:t>
            </w:r>
            <w:r>
              <w:rPr>
                <w:rFonts w:hint="eastAsia"/>
                <w:lang w:val="en-US" w:eastAsia="zh-CN"/>
              </w:rPr>
              <w:t>车船</w:t>
            </w:r>
            <w:r>
              <w:rPr>
                <w:rFonts w:hint="eastAsia"/>
              </w:rPr>
              <w:t>税</w:t>
            </w:r>
            <w:r>
              <w:rPr>
                <w:rFonts w:hint="eastAsia"/>
                <w:lang w:val="en-US" w:eastAsia="zh-CN"/>
              </w:rPr>
              <w:t>应纳税额的计算</w:t>
            </w:r>
          </w:p>
          <w:p w14:paraId="1FB4AF2A">
            <w:pPr>
              <w:pStyle w:val="4"/>
              <w:ind w:firstLine="180" w:firstLineChars="100"/>
            </w:pPr>
            <w:r>
              <w:rPr>
                <w:rFonts w:hint="eastAsia" w:ascii="微软雅黑" w:hAnsi="微软雅黑"/>
                <w:b/>
                <w:color w:val="1F4E79"/>
              </w:rPr>
              <w:t>教学难点：</w:t>
            </w:r>
            <w:r>
              <w:rPr>
                <w:rFonts w:hint="eastAsia"/>
                <w:lang w:val="en-US" w:eastAsia="zh-CN"/>
              </w:rPr>
              <w:t>车船</w:t>
            </w:r>
            <w:r>
              <w:rPr>
                <w:rFonts w:hint="eastAsia"/>
              </w:rPr>
              <w:t>税</w:t>
            </w:r>
            <w:r>
              <w:rPr>
                <w:rFonts w:hint="eastAsia"/>
                <w:lang w:val="en-US" w:eastAsia="zh-CN"/>
              </w:rPr>
              <w:t>应纳税额的计算</w:t>
            </w:r>
          </w:p>
        </w:tc>
      </w:tr>
      <w:tr w14:paraId="402279F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611BB0B">
            <w:pPr>
              <w:pStyle w:val="4"/>
              <w:jc w:val="center"/>
            </w:pPr>
            <w:r>
              <w:rPr>
                <w:rFonts w:ascii="微软雅黑" w:hAnsi="微软雅黑"/>
                <w:b/>
              </w:rPr>
              <w:t>教学方法</w:t>
            </w:r>
          </w:p>
        </w:tc>
        <w:tc>
          <w:tcPr>
            <w:tcW w:w="8347" w:type="dxa"/>
            <w:shd w:val="clear" w:color="auto" w:fill="FFFFFF"/>
            <w:vAlign w:val="center"/>
          </w:tcPr>
          <w:p w14:paraId="1A7D9A44">
            <w:pPr>
              <w:pStyle w:val="4"/>
              <w:ind w:firstLine="180" w:firstLineChars="100"/>
            </w:pPr>
            <w:r>
              <w:rPr>
                <w:rFonts w:hint="eastAsia"/>
              </w:rPr>
              <w:t>案例分析法、问答法、讨论法、讲授法</w:t>
            </w:r>
          </w:p>
        </w:tc>
      </w:tr>
      <w:tr w14:paraId="01C8D04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8430E1E">
            <w:pPr>
              <w:pStyle w:val="4"/>
              <w:jc w:val="center"/>
            </w:pPr>
            <w:r>
              <w:rPr>
                <w:rFonts w:ascii="微软雅黑" w:hAnsi="微软雅黑"/>
                <w:b/>
              </w:rPr>
              <w:t>教学用具</w:t>
            </w:r>
          </w:p>
        </w:tc>
        <w:tc>
          <w:tcPr>
            <w:tcW w:w="8347" w:type="dxa"/>
            <w:shd w:val="clear" w:color="auto" w:fill="FFFFFF"/>
            <w:vAlign w:val="center"/>
          </w:tcPr>
          <w:p w14:paraId="7232E641">
            <w:pPr>
              <w:pStyle w:val="4"/>
              <w:ind w:firstLine="180" w:firstLineChars="100"/>
            </w:pPr>
            <w:r>
              <w:rPr>
                <w:rFonts w:hint="eastAsia"/>
              </w:rPr>
              <w:t>电脑、投影仪、</w:t>
            </w:r>
            <w:r>
              <w:t>多媒体</w:t>
            </w:r>
            <w:r>
              <w:rPr>
                <w:rFonts w:hint="eastAsia"/>
              </w:rPr>
              <w:t>课件、教材</w:t>
            </w:r>
          </w:p>
        </w:tc>
      </w:tr>
      <w:tr w14:paraId="11E7BB4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983AA30">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5A1E2B04">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7E4004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BFD535D">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6E8A59D1">
            <w:pPr>
              <w:pStyle w:val="4"/>
              <w:ind w:left="200" w:leftChars="100"/>
              <w:rPr>
                <w:rFonts w:ascii="微软雅黑" w:hAnsi="微软雅黑"/>
                <w:b/>
                <w:color w:val="1F4E79"/>
              </w:rPr>
            </w:pPr>
            <w:r>
              <w:rPr>
                <w:rFonts w:hint="eastAsia" w:ascii="微软雅黑" w:hAnsi="微软雅黑"/>
                <w:b/>
                <w:color w:val="1F4E79"/>
              </w:rPr>
              <w:t>【教师】提出以下问题：</w:t>
            </w:r>
          </w:p>
          <w:p w14:paraId="0377A2C5">
            <w:pPr>
              <w:pStyle w:val="4"/>
              <w:ind w:firstLine="360" w:firstLineChars="200"/>
              <w:rPr>
                <w:rFonts w:hint="eastAsia" w:ascii="微软雅黑" w:hAnsi="微软雅黑"/>
                <w:kern w:val="2"/>
                <w:szCs w:val="18"/>
                <w:lang w:val="zh-CN"/>
              </w:rPr>
            </w:pPr>
            <w:r>
              <w:rPr>
                <w:rFonts w:hint="eastAsia" w:ascii="微软雅黑" w:hAnsi="微软雅黑"/>
                <w:kern w:val="2"/>
                <w:szCs w:val="18"/>
                <w:lang w:val="zh-CN"/>
              </w:rPr>
              <w:t>居民购买家用轿车需要缴纳哪些</w:t>
            </w:r>
            <w:r>
              <w:rPr>
                <w:rFonts w:ascii="微软雅黑" w:hAnsi="微软雅黑"/>
                <w:kern w:val="2"/>
                <w:szCs w:val="18"/>
                <w:lang w:val="zh-CN"/>
              </w:rPr>
              <w:t>税？</w:t>
            </w:r>
          </w:p>
          <w:p w14:paraId="64383642">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048682E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783E8F9">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00C7F707">
            <w:pPr>
              <w:pStyle w:val="4"/>
              <w:ind w:firstLine="360" w:firstLineChars="200"/>
              <w:jc w:val="center"/>
              <w:rPr>
                <w:b/>
                <w:lang w:bidi="ar"/>
              </w:rPr>
            </w:pPr>
            <w:r>
              <w:rPr>
                <w:rFonts w:hint="eastAsia"/>
                <w:b/>
                <w:lang w:val="en-US" w:eastAsia="zh-CN" w:bidi="ar"/>
              </w:rPr>
              <w:t xml:space="preserve">任务二   </w:t>
            </w:r>
            <w:r>
              <w:rPr>
                <w:rFonts w:hint="eastAsia"/>
                <w:b/>
                <w:lang w:bidi="ar"/>
              </w:rPr>
              <w:t>车船税</w:t>
            </w:r>
          </w:p>
          <w:p w14:paraId="290207E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【教师】讲解什么是车船税，车船税的纳税人与征税范围，税目与税率，以及税收优惠</w:t>
            </w:r>
          </w:p>
          <w:p w14:paraId="6E3E9D1B">
            <w:pPr>
              <w:pStyle w:val="4"/>
              <w:ind w:firstLine="360" w:firstLineChars="200"/>
              <w:rPr>
                <w:rFonts w:hint="default" w:eastAsia="微软雅黑"/>
                <w:b/>
                <w:bCs/>
                <w:lang w:val="en-US" w:eastAsia="zh-CN" w:bidi="ar"/>
              </w:rPr>
            </w:pPr>
            <w:r>
              <w:rPr>
                <w:rFonts w:hint="eastAsia"/>
                <w:b/>
                <w:bCs/>
                <w:lang w:val="en-US" w:eastAsia="zh-CN" w:bidi="ar"/>
              </w:rPr>
              <w:t>一、车船税法规解读</w:t>
            </w:r>
          </w:p>
          <w:p w14:paraId="6052A1EA">
            <w:pPr>
              <w:pStyle w:val="4"/>
              <w:ind w:firstLine="360" w:firstLineChars="200"/>
              <w:rPr>
                <w:lang w:bidi="ar"/>
              </w:rPr>
            </w:pPr>
            <w:r>
              <w:rPr>
                <w:rFonts w:hint="eastAsia"/>
                <w:lang w:bidi="ar"/>
              </w:rPr>
              <w:t>车船税是以应税车辆、船舶（以下简称“车船”）为征税对象，向拥有车船的单位和个人征收的一种税。征收车船税有利于增加政府财政收入，也有利于规范车船管理。</w:t>
            </w:r>
          </w:p>
          <w:p w14:paraId="09858935">
            <w:pPr>
              <w:pStyle w:val="4"/>
              <w:ind w:firstLine="360" w:firstLineChars="200"/>
              <w:rPr>
                <w:rFonts w:ascii="微软雅黑" w:hAnsi="微软雅黑" w:cs="MS Mincho"/>
                <w:b/>
                <w:szCs w:val="18"/>
              </w:rPr>
            </w:pPr>
            <w:r>
              <w:rPr>
                <w:rFonts w:hint="eastAsia"/>
                <w:b/>
                <w:lang w:bidi="ar"/>
              </w:rPr>
              <w:t>（一）</w:t>
            </w:r>
            <w:r>
              <w:rPr>
                <w:rFonts w:hint="eastAsia"/>
                <w:b/>
                <w:lang w:val="en-US" w:eastAsia="zh-CN" w:bidi="ar"/>
              </w:rPr>
              <w:t>车船税</w:t>
            </w:r>
            <w:r>
              <w:rPr>
                <w:rFonts w:hint="eastAsia"/>
                <w:b/>
                <w:lang w:bidi="ar"/>
              </w:rPr>
              <w:t>征税范围</w:t>
            </w:r>
          </w:p>
          <w:p w14:paraId="6D73ED1B">
            <w:pPr>
              <w:pStyle w:val="4"/>
              <w:ind w:firstLine="360" w:firstLineChars="200"/>
              <w:rPr>
                <w:lang w:bidi="ar"/>
              </w:rPr>
            </w:pPr>
            <w:r>
              <w:rPr>
                <w:rFonts w:hint="eastAsia"/>
                <w:lang w:bidi="ar"/>
              </w:rPr>
              <w:t>车船税的征税范围具体包括依法应当在车船登记管理部门登记的机动车辆和船舶；依法不需要在车船登记管理部门登记的，在单位内部场所行驶或者作业的机动车辆和船舶。</w:t>
            </w:r>
          </w:p>
          <w:p w14:paraId="3F66B8C9">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67D8D8A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车辆</w:t>
            </w:r>
            <w:r>
              <w:rPr>
                <w:rFonts w:ascii="微软雅黑" w:hAnsi="微软雅黑" w:eastAsia="微软雅黑" w:cs="MS Mincho"/>
                <w:b/>
                <w:sz w:val="18"/>
                <w:szCs w:val="18"/>
              </w:rPr>
              <w:t>、船舶的具体含义”</w:t>
            </w:r>
            <w:r>
              <w:rPr>
                <w:rFonts w:hint="eastAsia" w:ascii="微软雅黑" w:hAnsi="微软雅黑" w:eastAsia="微软雅黑" w:cs="MS Mincho"/>
                <w:b/>
                <w:sz w:val="18"/>
                <w:szCs w:val="18"/>
              </w:rPr>
              <w:t>视频（详见教材），加深学生对所学知识的理解</w:t>
            </w:r>
          </w:p>
          <w:p w14:paraId="0D0F287E">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08BD8C53">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val="en-US" w:eastAsia="zh-CN" w:bidi="ar"/>
              </w:rPr>
              <w:t>车船税</w:t>
            </w:r>
            <w:r>
              <w:rPr>
                <w:rFonts w:hint="eastAsia"/>
                <w:b/>
                <w:lang w:bidi="ar"/>
              </w:rPr>
              <w:t>纳税人</w:t>
            </w:r>
          </w:p>
          <w:p w14:paraId="3793A045">
            <w:pPr>
              <w:pStyle w:val="4"/>
              <w:ind w:firstLine="360" w:firstLineChars="200"/>
              <w:rPr>
                <w:lang w:bidi="ar"/>
              </w:rPr>
            </w:pPr>
            <w:r>
              <w:rPr>
                <w:rFonts w:hint="eastAsia"/>
                <w:lang w:bidi="ar"/>
              </w:rPr>
              <w:t>车船税的纳税人是指车船的所有人或者管理人。</w:t>
            </w:r>
          </w:p>
          <w:p w14:paraId="0053425E">
            <w:pPr>
              <w:pStyle w:val="4"/>
              <w:ind w:firstLine="360" w:firstLineChars="200"/>
              <w:rPr>
                <w:rFonts w:ascii="微软雅黑" w:hAnsi="微软雅黑" w:cs="MS Mincho"/>
                <w:b/>
                <w:szCs w:val="18"/>
              </w:rPr>
            </w:pPr>
            <w:r>
              <w:rPr>
                <w:rFonts w:hint="eastAsia"/>
                <w:b/>
                <w:lang w:bidi="ar"/>
              </w:rPr>
              <w:t>（</w:t>
            </w:r>
            <w:r>
              <w:rPr>
                <w:rFonts w:hint="eastAsia"/>
                <w:b/>
                <w:lang w:val="en-US" w:eastAsia="zh-CN" w:bidi="ar"/>
              </w:rPr>
              <w:t>三</w:t>
            </w:r>
            <w:r>
              <w:rPr>
                <w:rFonts w:hint="eastAsia"/>
                <w:b/>
                <w:lang w:bidi="ar"/>
              </w:rPr>
              <w:t>）税目与税率</w:t>
            </w:r>
          </w:p>
          <w:p w14:paraId="6C3D805F">
            <w:pPr>
              <w:pStyle w:val="4"/>
              <w:ind w:firstLine="360" w:firstLineChars="200"/>
              <w:rPr>
                <w:lang w:bidi="ar"/>
              </w:rPr>
            </w:pPr>
            <w:r>
              <w:rPr>
                <w:rFonts w:hint="eastAsia"/>
                <w:lang w:bidi="ar"/>
              </w:rPr>
              <w:t>车船税采用幅度定额税率，其税目包括乘用车、商用车、挂车、其他车辆、摩托车和船舶6类。我国现行的车船税税目税额表如表10-1所示。</w:t>
            </w:r>
          </w:p>
          <w:p w14:paraId="65C0C8FB">
            <w:pPr>
              <w:pStyle w:val="4"/>
              <w:ind w:firstLine="360" w:firstLineChars="200"/>
              <w:jc w:val="center"/>
              <w:rPr>
                <w:lang w:bidi="ar"/>
              </w:rPr>
            </w:pPr>
            <w:r>
              <w:rPr>
                <w:rFonts w:hint="eastAsia"/>
                <w:lang w:bidi="ar"/>
              </w:rPr>
              <w:t>表10-1  车船税税目税额表</w:t>
            </w:r>
          </w:p>
          <w:tbl>
            <w:tblPr>
              <w:tblStyle w:val="2"/>
              <w:tblW w:w="7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72"/>
              <w:gridCol w:w="1295"/>
              <w:gridCol w:w="1621"/>
              <w:gridCol w:w="1774"/>
            </w:tblGrid>
            <w:tr w14:paraId="71BF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gridSpan w:val="2"/>
                  <w:shd w:val="clear" w:color="auto" w:fill="DAE3F4" w:themeFill="accent1" w:themeFillTint="33"/>
                  <w:vAlign w:val="center"/>
                </w:tcPr>
                <w:p w14:paraId="65C2D9A3">
                  <w:pPr>
                    <w:pStyle w:val="4"/>
                    <w:jc w:val="center"/>
                  </w:pPr>
                  <w:r>
                    <w:rPr>
                      <w:rFonts w:hint="eastAsia"/>
                    </w:rPr>
                    <w:t>税目</w:t>
                  </w:r>
                </w:p>
              </w:tc>
              <w:tc>
                <w:tcPr>
                  <w:tcW w:w="1295" w:type="dxa"/>
                  <w:shd w:val="clear" w:color="auto" w:fill="DAE3F4" w:themeFill="accent1" w:themeFillTint="33"/>
                  <w:vAlign w:val="center"/>
                </w:tcPr>
                <w:p w14:paraId="430BEA2E">
                  <w:pPr>
                    <w:pStyle w:val="4"/>
                    <w:jc w:val="center"/>
                  </w:pPr>
                  <w:r>
                    <w:rPr>
                      <w:rFonts w:hint="eastAsia"/>
                    </w:rPr>
                    <w:t>计税单位</w:t>
                  </w:r>
                </w:p>
              </w:tc>
              <w:tc>
                <w:tcPr>
                  <w:tcW w:w="1621" w:type="dxa"/>
                  <w:shd w:val="clear" w:color="auto" w:fill="DAE3F4" w:themeFill="accent1" w:themeFillTint="33"/>
                  <w:vAlign w:val="center"/>
                </w:tcPr>
                <w:p w14:paraId="513BE244">
                  <w:pPr>
                    <w:pStyle w:val="4"/>
                    <w:jc w:val="center"/>
                  </w:pPr>
                  <w:r>
                    <w:rPr>
                      <w:rFonts w:hint="eastAsia"/>
                    </w:rPr>
                    <w:t>年基准税额</w:t>
                  </w:r>
                </w:p>
              </w:tc>
              <w:tc>
                <w:tcPr>
                  <w:tcW w:w="1774" w:type="dxa"/>
                  <w:shd w:val="clear" w:color="auto" w:fill="DAE3F4" w:themeFill="accent1" w:themeFillTint="33"/>
                  <w:vAlign w:val="center"/>
                </w:tcPr>
                <w:p w14:paraId="62A1B21F">
                  <w:pPr>
                    <w:pStyle w:val="4"/>
                    <w:jc w:val="center"/>
                  </w:pPr>
                  <w:r>
                    <w:rPr>
                      <w:rFonts w:hint="eastAsia"/>
                    </w:rPr>
                    <w:t>备注</w:t>
                  </w:r>
                </w:p>
              </w:tc>
            </w:tr>
            <w:tr w14:paraId="2785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0FEF7A72">
                  <w:pPr>
                    <w:pStyle w:val="4"/>
                    <w:ind w:firstLine="180" w:firstLineChars="100"/>
                  </w:pPr>
                  <w:r>
                    <w:rPr>
                      <w:rFonts w:hint="eastAsia"/>
                    </w:rPr>
                    <w:t>乘用车</w:t>
                  </w:r>
                  <w:r>
                    <w:br w:type="textWrapping"/>
                  </w:r>
                  <w:r>
                    <w:rPr>
                      <w:rFonts w:hint="eastAsia" w:ascii="宋体" w:hAnsi="宋体"/>
                    </w:rPr>
                    <w:t>［</w:t>
                  </w:r>
                  <w:r>
                    <w:rPr>
                      <w:rFonts w:hint="eastAsia"/>
                    </w:rPr>
                    <w:t>按发动机气缸容量（排气量）分档</w:t>
                  </w:r>
                  <w:r>
                    <w:rPr>
                      <w:rFonts w:hint="eastAsia" w:ascii="宋体" w:hAnsi="宋体"/>
                    </w:rPr>
                    <w:t>］</w:t>
                  </w:r>
                </w:p>
              </w:tc>
              <w:tc>
                <w:tcPr>
                  <w:tcW w:w="2272" w:type="dxa"/>
                  <w:vAlign w:val="center"/>
                </w:tcPr>
                <w:p w14:paraId="0D8B567C">
                  <w:pPr>
                    <w:pStyle w:val="4"/>
                    <w:ind w:firstLine="54" w:firstLineChars="30"/>
                  </w:pPr>
                  <w:r>
                    <w:rPr>
                      <w:rFonts w:hint="eastAsia"/>
                    </w:rPr>
                    <w:t>1.0升（含1.0升）以下的</w:t>
                  </w:r>
                </w:p>
              </w:tc>
              <w:tc>
                <w:tcPr>
                  <w:tcW w:w="1295" w:type="dxa"/>
                  <w:vMerge w:val="restart"/>
                  <w:vAlign w:val="center"/>
                </w:tcPr>
                <w:p w14:paraId="5FA9D748">
                  <w:pPr>
                    <w:pStyle w:val="4"/>
                    <w:jc w:val="center"/>
                  </w:pPr>
                  <w:r>
                    <w:rPr>
                      <w:rFonts w:hint="eastAsia"/>
                    </w:rPr>
                    <w:t>每辆</w:t>
                  </w:r>
                </w:p>
              </w:tc>
              <w:tc>
                <w:tcPr>
                  <w:tcW w:w="1621" w:type="dxa"/>
                  <w:vAlign w:val="center"/>
                </w:tcPr>
                <w:p w14:paraId="0B45BDB0">
                  <w:pPr>
                    <w:pStyle w:val="4"/>
                    <w:ind w:firstLine="90" w:firstLineChars="50"/>
                  </w:pPr>
                  <w:r>
                    <w:rPr>
                      <w:rFonts w:hint="eastAsia"/>
                    </w:rPr>
                    <w:t>60～360元</w:t>
                  </w:r>
                </w:p>
              </w:tc>
              <w:tc>
                <w:tcPr>
                  <w:tcW w:w="1774" w:type="dxa"/>
                  <w:vMerge w:val="restart"/>
                  <w:vAlign w:val="center"/>
                </w:tcPr>
                <w:p w14:paraId="24364330">
                  <w:pPr>
                    <w:pStyle w:val="4"/>
                    <w:ind w:firstLine="180" w:firstLineChars="100"/>
                  </w:pPr>
                  <w:r>
                    <w:rPr>
                      <w:rFonts w:hint="eastAsia"/>
                    </w:rPr>
                    <w:t>核定载客人数9人（含9人）以下</w:t>
                  </w:r>
                </w:p>
              </w:tc>
            </w:tr>
            <w:tr w14:paraId="3818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94262A3">
                  <w:pPr>
                    <w:pStyle w:val="4"/>
                  </w:pPr>
                </w:p>
              </w:tc>
              <w:tc>
                <w:tcPr>
                  <w:tcW w:w="2272" w:type="dxa"/>
                  <w:vAlign w:val="center"/>
                </w:tcPr>
                <w:p w14:paraId="0D1BD745">
                  <w:pPr>
                    <w:pStyle w:val="4"/>
                    <w:ind w:firstLine="54" w:firstLineChars="30"/>
                  </w:pPr>
                  <w:r>
                    <w:rPr>
                      <w:rFonts w:hint="eastAsia"/>
                    </w:rPr>
                    <w:t>1.0升～1.6升（含1.6升）</w:t>
                  </w:r>
                </w:p>
              </w:tc>
              <w:tc>
                <w:tcPr>
                  <w:tcW w:w="1295" w:type="dxa"/>
                  <w:vMerge w:val="continue"/>
                  <w:vAlign w:val="center"/>
                </w:tcPr>
                <w:p w14:paraId="52B4F242">
                  <w:pPr>
                    <w:pStyle w:val="4"/>
                    <w:jc w:val="center"/>
                  </w:pPr>
                </w:p>
              </w:tc>
              <w:tc>
                <w:tcPr>
                  <w:tcW w:w="1621" w:type="dxa"/>
                  <w:vAlign w:val="center"/>
                </w:tcPr>
                <w:p w14:paraId="1AE895B4">
                  <w:pPr>
                    <w:pStyle w:val="4"/>
                    <w:ind w:firstLine="90" w:firstLineChars="50"/>
                  </w:pPr>
                  <w:r>
                    <w:rPr>
                      <w:rFonts w:hint="eastAsia"/>
                    </w:rPr>
                    <w:t>300～540元</w:t>
                  </w:r>
                </w:p>
              </w:tc>
              <w:tc>
                <w:tcPr>
                  <w:tcW w:w="1774" w:type="dxa"/>
                  <w:vMerge w:val="continue"/>
                  <w:vAlign w:val="center"/>
                </w:tcPr>
                <w:p w14:paraId="58BF9A57">
                  <w:pPr>
                    <w:pStyle w:val="4"/>
                  </w:pPr>
                </w:p>
              </w:tc>
            </w:tr>
            <w:tr w14:paraId="1B55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2E75E5C0">
                  <w:pPr>
                    <w:pStyle w:val="4"/>
                  </w:pPr>
                </w:p>
              </w:tc>
              <w:tc>
                <w:tcPr>
                  <w:tcW w:w="2272" w:type="dxa"/>
                  <w:vAlign w:val="center"/>
                </w:tcPr>
                <w:p w14:paraId="76C565C1">
                  <w:pPr>
                    <w:pStyle w:val="4"/>
                    <w:ind w:firstLine="54" w:firstLineChars="30"/>
                  </w:pPr>
                  <w:r>
                    <w:rPr>
                      <w:rFonts w:hint="eastAsia"/>
                    </w:rPr>
                    <w:t>1.6升～2.0升（含2.0升）</w:t>
                  </w:r>
                </w:p>
              </w:tc>
              <w:tc>
                <w:tcPr>
                  <w:tcW w:w="1295" w:type="dxa"/>
                  <w:vMerge w:val="continue"/>
                  <w:vAlign w:val="center"/>
                </w:tcPr>
                <w:p w14:paraId="1E176004">
                  <w:pPr>
                    <w:pStyle w:val="4"/>
                    <w:jc w:val="center"/>
                  </w:pPr>
                </w:p>
              </w:tc>
              <w:tc>
                <w:tcPr>
                  <w:tcW w:w="1621" w:type="dxa"/>
                  <w:vAlign w:val="center"/>
                </w:tcPr>
                <w:p w14:paraId="0A26D958">
                  <w:pPr>
                    <w:pStyle w:val="4"/>
                    <w:ind w:firstLine="90" w:firstLineChars="50"/>
                  </w:pPr>
                  <w:r>
                    <w:rPr>
                      <w:rFonts w:hint="eastAsia"/>
                    </w:rPr>
                    <w:t>360～660元</w:t>
                  </w:r>
                </w:p>
              </w:tc>
              <w:tc>
                <w:tcPr>
                  <w:tcW w:w="1774" w:type="dxa"/>
                  <w:vMerge w:val="continue"/>
                  <w:vAlign w:val="center"/>
                </w:tcPr>
                <w:p w14:paraId="368008A7">
                  <w:pPr>
                    <w:pStyle w:val="4"/>
                  </w:pPr>
                </w:p>
              </w:tc>
            </w:tr>
            <w:tr w14:paraId="0CF5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6A1D03D">
                  <w:pPr>
                    <w:pStyle w:val="4"/>
                  </w:pPr>
                </w:p>
              </w:tc>
              <w:tc>
                <w:tcPr>
                  <w:tcW w:w="2272" w:type="dxa"/>
                  <w:vAlign w:val="center"/>
                </w:tcPr>
                <w:p w14:paraId="133CF297">
                  <w:pPr>
                    <w:pStyle w:val="4"/>
                    <w:ind w:firstLine="54" w:firstLineChars="30"/>
                  </w:pPr>
                  <w:r>
                    <w:rPr>
                      <w:rFonts w:hint="eastAsia"/>
                    </w:rPr>
                    <w:t>2.0升～2.5升（含2.5升）</w:t>
                  </w:r>
                </w:p>
              </w:tc>
              <w:tc>
                <w:tcPr>
                  <w:tcW w:w="1295" w:type="dxa"/>
                  <w:vMerge w:val="continue"/>
                  <w:vAlign w:val="center"/>
                </w:tcPr>
                <w:p w14:paraId="7B8DF813">
                  <w:pPr>
                    <w:pStyle w:val="4"/>
                    <w:jc w:val="center"/>
                  </w:pPr>
                </w:p>
              </w:tc>
              <w:tc>
                <w:tcPr>
                  <w:tcW w:w="1621" w:type="dxa"/>
                  <w:vAlign w:val="center"/>
                </w:tcPr>
                <w:p w14:paraId="7B294D23">
                  <w:pPr>
                    <w:pStyle w:val="4"/>
                    <w:ind w:firstLine="90" w:firstLineChars="50"/>
                  </w:pPr>
                  <w:r>
                    <w:rPr>
                      <w:rFonts w:hint="eastAsia"/>
                    </w:rPr>
                    <w:t>660～1 200元</w:t>
                  </w:r>
                </w:p>
              </w:tc>
              <w:tc>
                <w:tcPr>
                  <w:tcW w:w="1774" w:type="dxa"/>
                  <w:vMerge w:val="continue"/>
                  <w:vAlign w:val="center"/>
                </w:tcPr>
                <w:p w14:paraId="4BD10001">
                  <w:pPr>
                    <w:pStyle w:val="4"/>
                  </w:pPr>
                </w:p>
              </w:tc>
            </w:tr>
            <w:tr w14:paraId="2563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00DD1B9">
                  <w:pPr>
                    <w:pStyle w:val="4"/>
                  </w:pPr>
                </w:p>
              </w:tc>
              <w:tc>
                <w:tcPr>
                  <w:tcW w:w="2272" w:type="dxa"/>
                  <w:vAlign w:val="center"/>
                </w:tcPr>
                <w:p w14:paraId="7553C88F">
                  <w:pPr>
                    <w:pStyle w:val="4"/>
                    <w:ind w:firstLine="54" w:firstLineChars="30"/>
                  </w:pPr>
                  <w:r>
                    <w:rPr>
                      <w:rFonts w:hint="eastAsia"/>
                    </w:rPr>
                    <w:t>2.5升～3.0升（含3.0升）</w:t>
                  </w:r>
                </w:p>
              </w:tc>
              <w:tc>
                <w:tcPr>
                  <w:tcW w:w="1295" w:type="dxa"/>
                  <w:vMerge w:val="continue"/>
                  <w:vAlign w:val="center"/>
                </w:tcPr>
                <w:p w14:paraId="72CDB002">
                  <w:pPr>
                    <w:pStyle w:val="4"/>
                    <w:jc w:val="center"/>
                  </w:pPr>
                </w:p>
              </w:tc>
              <w:tc>
                <w:tcPr>
                  <w:tcW w:w="1621" w:type="dxa"/>
                  <w:vAlign w:val="center"/>
                </w:tcPr>
                <w:p w14:paraId="0E019E07">
                  <w:pPr>
                    <w:pStyle w:val="4"/>
                    <w:ind w:firstLine="90" w:firstLineChars="50"/>
                  </w:pPr>
                  <w:r>
                    <w:rPr>
                      <w:rFonts w:hint="eastAsia"/>
                    </w:rPr>
                    <w:t>1 200～2 400元</w:t>
                  </w:r>
                </w:p>
              </w:tc>
              <w:tc>
                <w:tcPr>
                  <w:tcW w:w="1774" w:type="dxa"/>
                  <w:vMerge w:val="continue"/>
                  <w:vAlign w:val="center"/>
                </w:tcPr>
                <w:p w14:paraId="0B884BA2">
                  <w:pPr>
                    <w:pStyle w:val="4"/>
                  </w:pPr>
                </w:p>
              </w:tc>
            </w:tr>
            <w:tr w14:paraId="3DFC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25E52A3C">
                  <w:pPr>
                    <w:pStyle w:val="4"/>
                  </w:pPr>
                </w:p>
              </w:tc>
              <w:tc>
                <w:tcPr>
                  <w:tcW w:w="2272" w:type="dxa"/>
                  <w:vAlign w:val="center"/>
                </w:tcPr>
                <w:p w14:paraId="34B40AB3">
                  <w:pPr>
                    <w:pStyle w:val="4"/>
                    <w:ind w:firstLine="54" w:firstLineChars="30"/>
                  </w:pPr>
                  <w:r>
                    <w:rPr>
                      <w:rFonts w:hint="eastAsia"/>
                    </w:rPr>
                    <w:t>3.0升～4.0升（含4.0升）</w:t>
                  </w:r>
                </w:p>
              </w:tc>
              <w:tc>
                <w:tcPr>
                  <w:tcW w:w="1295" w:type="dxa"/>
                  <w:vMerge w:val="continue"/>
                  <w:vAlign w:val="center"/>
                </w:tcPr>
                <w:p w14:paraId="7A1C7A5B">
                  <w:pPr>
                    <w:pStyle w:val="4"/>
                    <w:jc w:val="center"/>
                  </w:pPr>
                </w:p>
              </w:tc>
              <w:tc>
                <w:tcPr>
                  <w:tcW w:w="1621" w:type="dxa"/>
                  <w:vAlign w:val="center"/>
                </w:tcPr>
                <w:p w14:paraId="6403DB93">
                  <w:pPr>
                    <w:pStyle w:val="4"/>
                    <w:ind w:firstLine="90" w:firstLineChars="50"/>
                  </w:pPr>
                  <w:r>
                    <w:rPr>
                      <w:rFonts w:hint="eastAsia"/>
                    </w:rPr>
                    <w:t>2 400～3 600元</w:t>
                  </w:r>
                </w:p>
              </w:tc>
              <w:tc>
                <w:tcPr>
                  <w:tcW w:w="1774" w:type="dxa"/>
                  <w:vMerge w:val="continue"/>
                  <w:vAlign w:val="center"/>
                </w:tcPr>
                <w:p w14:paraId="5CE9BAC5">
                  <w:pPr>
                    <w:pStyle w:val="4"/>
                  </w:pPr>
                </w:p>
              </w:tc>
            </w:tr>
            <w:tr w14:paraId="5F6F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E03FC6C">
                  <w:pPr>
                    <w:pStyle w:val="4"/>
                  </w:pPr>
                </w:p>
              </w:tc>
              <w:tc>
                <w:tcPr>
                  <w:tcW w:w="2272" w:type="dxa"/>
                  <w:vAlign w:val="center"/>
                </w:tcPr>
                <w:p w14:paraId="5148B0BF">
                  <w:pPr>
                    <w:pStyle w:val="4"/>
                    <w:ind w:firstLine="54" w:firstLineChars="30"/>
                  </w:pPr>
                  <w:r>
                    <w:rPr>
                      <w:rFonts w:hint="eastAsia"/>
                    </w:rPr>
                    <w:t>4.0升以上的</w:t>
                  </w:r>
                </w:p>
              </w:tc>
              <w:tc>
                <w:tcPr>
                  <w:tcW w:w="1295" w:type="dxa"/>
                  <w:vMerge w:val="continue"/>
                  <w:vAlign w:val="center"/>
                </w:tcPr>
                <w:p w14:paraId="4228B984">
                  <w:pPr>
                    <w:pStyle w:val="4"/>
                    <w:jc w:val="center"/>
                  </w:pPr>
                </w:p>
              </w:tc>
              <w:tc>
                <w:tcPr>
                  <w:tcW w:w="1621" w:type="dxa"/>
                  <w:vAlign w:val="center"/>
                </w:tcPr>
                <w:p w14:paraId="55CBA5A6">
                  <w:pPr>
                    <w:pStyle w:val="4"/>
                    <w:ind w:firstLine="90" w:firstLineChars="50"/>
                  </w:pPr>
                  <w:r>
                    <w:rPr>
                      <w:rFonts w:hint="eastAsia"/>
                    </w:rPr>
                    <w:t>3 600～5 400元</w:t>
                  </w:r>
                </w:p>
              </w:tc>
              <w:tc>
                <w:tcPr>
                  <w:tcW w:w="1774" w:type="dxa"/>
                  <w:vMerge w:val="continue"/>
                  <w:vAlign w:val="center"/>
                </w:tcPr>
                <w:p w14:paraId="47E6329A">
                  <w:pPr>
                    <w:pStyle w:val="4"/>
                  </w:pPr>
                </w:p>
              </w:tc>
            </w:tr>
            <w:tr w14:paraId="68B5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019A6934">
                  <w:pPr>
                    <w:pStyle w:val="4"/>
                    <w:jc w:val="center"/>
                  </w:pPr>
                  <w:r>
                    <w:rPr>
                      <w:rFonts w:hint="eastAsia"/>
                    </w:rPr>
                    <w:t>商用车</w:t>
                  </w:r>
                </w:p>
              </w:tc>
              <w:tc>
                <w:tcPr>
                  <w:tcW w:w="2272" w:type="dxa"/>
                  <w:vAlign w:val="center"/>
                </w:tcPr>
                <w:p w14:paraId="43E6ABE9">
                  <w:pPr>
                    <w:pStyle w:val="4"/>
                    <w:jc w:val="center"/>
                  </w:pPr>
                  <w:r>
                    <w:rPr>
                      <w:rFonts w:hint="eastAsia"/>
                    </w:rPr>
                    <w:t>客车</w:t>
                  </w:r>
                </w:p>
              </w:tc>
              <w:tc>
                <w:tcPr>
                  <w:tcW w:w="1295" w:type="dxa"/>
                  <w:vAlign w:val="center"/>
                </w:tcPr>
                <w:p w14:paraId="22DFF966">
                  <w:pPr>
                    <w:pStyle w:val="4"/>
                    <w:jc w:val="center"/>
                  </w:pPr>
                  <w:r>
                    <w:rPr>
                      <w:rFonts w:hint="eastAsia"/>
                    </w:rPr>
                    <w:t>每辆</w:t>
                  </w:r>
                </w:p>
              </w:tc>
              <w:tc>
                <w:tcPr>
                  <w:tcW w:w="1621" w:type="dxa"/>
                  <w:vAlign w:val="center"/>
                </w:tcPr>
                <w:p w14:paraId="69A2CCB9">
                  <w:pPr>
                    <w:pStyle w:val="4"/>
                    <w:ind w:firstLine="90" w:firstLineChars="50"/>
                  </w:pPr>
                  <w:r>
                    <w:rPr>
                      <w:rFonts w:hint="eastAsia"/>
                    </w:rPr>
                    <w:t>480～1 440元</w:t>
                  </w:r>
                </w:p>
              </w:tc>
              <w:tc>
                <w:tcPr>
                  <w:tcW w:w="1774" w:type="dxa"/>
                  <w:vAlign w:val="center"/>
                </w:tcPr>
                <w:p w14:paraId="2FBD4148">
                  <w:pPr>
                    <w:pStyle w:val="4"/>
                    <w:ind w:firstLine="180" w:firstLineChars="100"/>
                  </w:pPr>
                  <w:r>
                    <w:rPr>
                      <w:rFonts w:hint="eastAsia"/>
                    </w:rPr>
                    <w:t>核定载客人数</w:t>
                  </w:r>
                  <w:r>
                    <w:t> </w:t>
                  </w:r>
                  <w:r>
                    <w:rPr>
                      <w:rFonts w:hint="eastAsia"/>
                    </w:rPr>
                    <w:t>9</w:t>
                  </w:r>
                  <w:r>
                    <w:t> </w:t>
                  </w:r>
                  <w:r>
                    <w:rPr>
                      <w:rFonts w:hint="eastAsia"/>
                    </w:rPr>
                    <w:t>人以上，包括电车</w:t>
                  </w:r>
                </w:p>
              </w:tc>
            </w:tr>
            <w:tr w14:paraId="4FE6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AF89148">
                  <w:pPr>
                    <w:pStyle w:val="4"/>
                    <w:jc w:val="center"/>
                  </w:pPr>
                </w:p>
              </w:tc>
              <w:tc>
                <w:tcPr>
                  <w:tcW w:w="2272" w:type="dxa"/>
                  <w:vAlign w:val="center"/>
                </w:tcPr>
                <w:p w14:paraId="6598DEA9">
                  <w:pPr>
                    <w:pStyle w:val="4"/>
                    <w:jc w:val="center"/>
                  </w:pPr>
                  <w:r>
                    <w:rPr>
                      <w:rFonts w:hint="eastAsia"/>
                    </w:rPr>
                    <w:t>货车</w:t>
                  </w:r>
                </w:p>
              </w:tc>
              <w:tc>
                <w:tcPr>
                  <w:tcW w:w="1295" w:type="dxa"/>
                  <w:vMerge w:val="restart"/>
                  <w:vAlign w:val="center"/>
                </w:tcPr>
                <w:p w14:paraId="46E3F0F1">
                  <w:pPr>
                    <w:pStyle w:val="4"/>
                    <w:jc w:val="center"/>
                  </w:pPr>
                  <w:r>
                    <w:rPr>
                      <w:rFonts w:hint="eastAsia"/>
                    </w:rPr>
                    <w:t>整备质量每吨</w:t>
                  </w:r>
                </w:p>
              </w:tc>
              <w:tc>
                <w:tcPr>
                  <w:tcW w:w="1621" w:type="dxa"/>
                  <w:vAlign w:val="center"/>
                </w:tcPr>
                <w:p w14:paraId="75F53BF6">
                  <w:pPr>
                    <w:pStyle w:val="4"/>
                    <w:ind w:firstLine="90" w:firstLineChars="50"/>
                  </w:pPr>
                  <w:r>
                    <w:rPr>
                      <w:rFonts w:hint="eastAsia"/>
                    </w:rPr>
                    <w:t>16～120元</w:t>
                  </w:r>
                </w:p>
              </w:tc>
              <w:tc>
                <w:tcPr>
                  <w:tcW w:w="1774" w:type="dxa"/>
                  <w:vAlign w:val="center"/>
                </w:tcPr>
                <w:p w14:paraId="4B9650A6">
                  <w:pPr>
                    <w:pStyle w:val="4"/>
                    <w:ind w:firstLine="188" w:firstLineChars="100"/>
                  </w:pPr>
                  <w:r>
                    <w:rPr>
                      <w:rFonts w:hint="eastAsia"/>
                      <w:spacing w:val="4"/>
                    </w:rPr>
                    <w:t>包括</w:t>
                  </w:r>
                  <w:r>
                    <w:rPr>
                      <w:rFonts w:hint="eastAsia"/>
                    </w:rPr>
                    <w:t>半挂牵引车</w:t>
                  </w:r>
                  <w:r>
                    <w:rPr>
                      <w:rFonts w:hint="eastAsia"/>
                      <w:spacing w:val="4"/>
                    </w:rPr>
                    <w:t>、三轮汽车和低速载货汽车等</w:t>
                  </w:r>
                </w:p>
              </w:tc>
            </w:tr>
            <w:tr w14:paraId="4CA0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gridSpan w:val="2"/>
                  <w:vAlign w:val="center"/>
                </w:tcPr>
                <w:p w14:paraId="1FA5A491">
                  <w:pPr>
                    <w:pStyle w:val="4"/>
                    <w:jc w:val="center"/>
                  </w:pPr>
                  <w:r>
                    <w:rPr>
                      <w:rFonts w:hint="eastAsia"/>
                    </w:rPr>
                    <w:t>挂车</w:t>
                  </w:r>
                </w:p>
              </w:tc>
              <w:tc>
                <w:tcPr>
                  <w:tcW w:w="1295" w:type="dxa"/>
                  <w:vMerge w:val="continue"/>
                  <w:vAlign w:val="center"/>
                </w:tcPr>
                <w:p w14:paraId="55F7ABFF">
                  <w:pPr>
                    <w:pStyle w:val="4"/>
                    <w:jc w:val="center"/>
                  </w:pPr>
                </w:p>
              </w:tc>
              <w:tc>
                <w:tcPr>
                  <w:tcW w:w="1621" w:type="dxa"/>
                  <w:vAlign w:val="center"/>
                </w:tcPr>
                <w:p w14:paraId="25D00576">
                  <w:pPr>
                    <w:pStyle w:val="4"/>
                    <w:ind w:firstLine="90" w:firstLineChars="50"/>
                  </w:pPr>
                  <w:r>
                    <w:rPr>
                      <w:rFonts w:hint="eastAsia"/>
                    </w:rPr>
                    <w:t>按照货车税额的5</w:t>
                  </w:r>
                  <w:r>
                    <w:t>0%</w:t>
                  </w:r>
                  <w:r>
                    <w:rPr>
                      <w:rFonts w:hint="eastAsia"/>
                    </w:rPr>
                    <w:t>计算</w:t>
                  </w:r>
                </w:p>
              </w:tc>
              <w:tc>
                <w:tcPr>
                  <w:tcW w:w="1774" w:type="dxa"/>
                  <w:vAlign w:val="center"/>
                </w:tcPr>
                <w:p w14:paraId="76A15079">
                  <w:pPr>
                    <w:pStyle w:val="4"/>
                    <w:ind w:firstLine="180" w:firstLineChars="100"/>
                  </w:pPr>
                </w:p>
              </w:tc>
            </w:tr>
            <w:tr w14:paraId="47F2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059995FC">
                  <w:pPr>
                    <w:pStyle w:val="4"/>
                    <w:jc w:val="center"/>
                  </w:pPr>
                  <w:r>
                    <w:rPr>
                      <w:rFonts w:hint="eastAsia"/>
                    </w:rPr>
                    <w:t>其他车辆</w:t>
                  </w:r>
                </w:p>
              </w:tc>
              <w:tc>
                <w:tcPr>
                  <w:tcW w:w="2272" w:type="dxa"/>
                  <w:vAlign w:val="center"/>
                </w:tcPr>
                <w:p w14:paraId="28860889">
                  <w:pPr>
                    <w:pStyle w:val="4"/>
                    <w:jc w:val="center"/>
                  </w:pPr>
                  <w:r>
                    <w:rPr>
                      <w:rFonts w:hint="eastAsia"/>
                    </w:rPr>
                    <w:t>专用作业车</w:t>
                  </w:r>
                </w:p>
              </w:tc>
              <w:tc>
                <w:tcPr>
                  <w:tcW w:w="1295" w:type="dxa"/>
                  <w:vMerge w:val="continue"/>
                  <w:vAlign w:val="center"/>
                </w:tcPr>
                <w:p w14:paraId="59B35B6B">
                  <w:pPr>
                    <w:pStyle w:val="4"/>
                    <w:jc w:val="center"/>
                  </w:pPr>
                </w:p>
              </w:tc>
              <w:tc>
                <w:tcPr>
                  <w:tcW w:w="1621" w:type="dxa"/>
                  <w:vAlign w:val="center"/>
                </w:tcPr>
                <w:p w14:paraId="7F1A4580">
                  <w:pPr>
                    <w:pStyle w:val="4"/>
                    <w:ind w:firstLine="90" w:firstLineChars="50"/>
                  </w:pPr>
                  <w:r>
                    <w:t>16</w:t>
                  </w:r>
                  <w:r>
                    <w:rPr>
                      <w:rFonts w:hint="eastAsia"/>
                    </w:rPr>
                    <w:t>～1</w:t>
                  </w:r>
                  <w:r>
                    <w:t>2</w:t>
                  </w:r>
                  <w:r>
                    <w:rPr>
                      <w:rFonts w:hint="eastAsia"/>
                    </w:rPr>
                    <w:t>0元</w:t>
                  </w:r>
                </w:p>
              </w:tc>
              <w:tc>
                <w:tcPr>
                  <w:tcW w:w="1774" w:type="dxa"/>
                  <w:vMerge w:val="restart"/>
                  <w:vAlign w:val="center"/>
                </w:tcPr>
                <w:p w14:paraId="6B0EF6E9">
                  <w:pPr>
                    <w:pStyle w:val="4"/>
                    <w:ind w:firstLine="180" w:firstLineChars="100"/>
                  </w:pPr>
                  <w:r>
                    <w:rPr>
                      <w:rFonts w:hint="eastAsia"/>
                    </w:rPr>
                    <w:t>不包括拖拉机</w:t>
                  </w:r>
                </w:p>
              </w:tc>
            </w:tr>
            <w:tr w14:paraId="7F72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B913CD9">
                  <w:pPr>
                    <w:pStyle w:val="4"/>
                    <w:jc w:val="center"/>
                  </w:pPr>
                </w:p>
              </w:tc>
              <w:tc>
                <w:tcPr>
                  <w:tcW w:w="2272" w:type="dxa"/>
                  <w:vAlign w:val="center"/>
                </w:tcPr>
                <w:p w14:paraId="75D3E0F5">
                  <w:pPr>
                    <w:pStyle w:val="4"/>
                    <w:jc w:val="center"/>
                  </w:pPr>
                  <w:r>
                    <w:rPr>
                      <w:rFonts w:hint="eastAsia"/>
                    </w:rPr>
                    <w:t>轮式专用机械车</w:t>
                  </w:r>
                </w:p>
              </w:tc>
              <w:tc>
                <w:tcPr>
                  <w:tcW w:w="1295" w:type="dxa"/>
                  <w:vMerge w:val="continue"/>
                  <w:vAlign w:val="center"/>
                </w:tcPr>
                <w:p w14:paraId="18C175A0">
                  <w:pPr>
                    <w:pStyle w:val="4"/>
                    <w:jc w:val="center"/>
                  </w:pPr>
                </w:p>
              </w:tc>
              <w:tc>
                <w:tcPr>
                  <w:tcW w:w="1621" w:type="dxa"/>
                  <w:vAlign w:val="center"/>
                </w:tcPr>
                <w:p w14:paraId="555CB85D">
                  <w:pPr>
                    <w:pStyle w:val="4"/>
                    <w:ind w:firstLine="90" w:firstLineChars="50"/>
                  </w:pPr>
                  <w:r>
                    <w:rPr>
                      <w:rFonts w:hint="eastAsia"/>
                    </w:rPr>
                    <w:t>16～120元</w:t>
                  </w:r>
                </w:p>
              </w:tc>
              <w:tc>
                <w:tcPr>
                  <w:tcW w:w="1774" w:type="dxa"/>
                  <w:vMerge w:val="continue"/>
                  <w:vAlign w:val="center"/>
                </w:tcPr>
                <w:p w14:paraId="583BECCF">
                  <w:pPr>
                    <w:pStyle w:val="4"/>
                  </w:pPr>
                </w:p>
              </w:tc>
            </w:tr>
            <w:tr w14:paraId="1B36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gridSpan w:val="2"/>
                  <w:vAlign w:val="center"/>
                </w:tcPr>
                <w:p w14:paraId="0989EEEB">
                  <w:pPr>
                    <w:pStyle w:val="4"/>
                    <w:jc w:val="center"/>
                  </w:pPr>
                  <w:r>
                    <w:rPr>
                      <w:rFonts w:hint="eastAsia"/>
                    </w:rPr>
                    <w:t>摩托车</w:t>
                  </w:r>
                </w:p>
              </w:tc>
              <w:tc>
                <w:tcPr>
                  <w:tcW w:w="1295" w:type="dxa"/>
                  <w:vAlign w:val="center"/>
                </w:tcPr>
                <w:p w14:paraId="638D34C6">
                  <w:pPr>
                    <w:pStyle w:val="4"/>
                    <w:jc w:val="center"/>
                  </w:pPr>
                  <w:r>
                    <w:rPr>
                      <w:rFonts w:hint="eastAsia"/>
                    </w:rPr>
                    <w:t>每辆</w:t>
                  </w:r>
                </w:p>
              </w:tc>
              <w:tc>
                <w:tcPr>
                  <w:tcW w:w="1621" w:type="dxa"/>
                  <w:vAlign w:val="center"/>
                </w:tcPr>
                <w:p w14:paraId="2B65BB06">
                  <w:pPr>
                    <w:pStyle w:val="4"/>
                    <w:ind w:firstLine="90" w:firstLineChars="50"/>
                  </w:pPr>
                  <w:r>
                    <w:rPr>
                      <w:rFonts w:hint="eastAsia"/>
                    </w:rPr>
                    <w:t>36～180元</w:t>
                  </w:r>
                </w:p>
              </w:tc>
              <w:tc>
                <w:tcPr>
                  <w:tcW w:w="1774" w:type="dxa"/>
                  <w:vAlign w:val="center"/>
                </w:tcPr>
                <w:p w14:paraId="10AD78D2">
                  <w:pPr>
                    <w:pStyle w:val="4"/>
                  </w:pPr>
                </w:p>
              </w:tc>
            </w:tr>
            <w:tr w14:paraId="281A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88" w:type="dxa"/>
                  <w:vMerge w:val="restart"/>
                  <w:vAlign w:val="center"/>
                </w:tcPr>
                <w:p w14:paraId="114C553A">
                  <w:pPr>
                    <w:pStyle w:val="4"/>
                    <w:jc w:val="center"/>
                  </w:pPr>
                  <w:r>
                    <w:rPr>
                      <w:rFonts w:hint="eastAsia"/>
                    </w:rPr>
                    <w:t>船舶</w:t>
                  </w:r>
                </w:p>
              </w:tc>
              <w:tc>
                <w:tcPr>
                  <w:tcW w:w="2272" w:type="dxa"/>
                  <w:vAlign w:val="center"/>
                </w:tcPr>
                <w:p w14:paraId="63E95152">
                  <w:pPr>
                    <w:pStyle w:val="4"/>
                    <w:jc w:val="center"/>
                  </w:pPr>
                  <w:r>
                    <w:rPr>
                      <w:rFonts w:hint="eastAsia"/>
                    </w:rPr>
                    <w:t>机动船舶</w:t>
                  </w:r>
                </w:p>
              </w:tc>
              <w:tc>
                <w:tcPr>
                  <w:tcW w:w="1295" w:type="dxa"/>
                  <w:vAlign w:val="center"/>
                </w:tcPr>
                <w:p w14:paraId="5C89B79B">
                  <w:pPr>
                    <w:pStyle w:val="4"/>
                    <w:jc w:val="center"/>
                  </w:pPr>
                  <w:r>
                    <w:rPr>
                      <w:rFonts w:hint="eastAsia"/>
                    </w:rPr>
                    <w:t>净吨位每吨</w:t>
                  </w:r>
                </w:p>
              </w:tc>
              <w:tc>
                <w:tcPr>
                  <w:tcW w:w="1621" w:type="dxa"/>
                  <w:vAlign w:val="center"/>
                </w:tcPr>
                <w:p w14:paraId="5DE4A44C">
                  <w:pPr>
                    <w:pStyle w:val="4"/>
                    <w:ind w:firstLine="90" w:firstLineChars="50"/>
                  </w:pPr>
                  <w:r>
                    <w:rPr>
                      <w:rFonts w:hint="eastAsia"/>
                    </w:rPr>
                    <w:t>3～6元</w:t>
                  </w:r>
                </w:p>
              </w:tc>
              <w:tc>
                <w:tcPr>
                  <w:tcW w:w="1774" w:type="dxa"/>
                  <w:vAlign w:val="center"/>
                </w:tcPr>
                <w:p w14:paraId="1B043EDF">
                  <w:pPr>
                    <w:pStyle w:val="4"/>
                    <w:ind w:firstLine="180" w:firstLineChars="100"/>
                  </w:pPr>
                  <w:r>
                    <w:rPr>
                      <w:rFonts w:hint="eastAsia"/>
                    </w:rPr>
                    <w:t>拖船、非机动驳船的年基准税额分</w:t>
                  </w:r>
                  <w:r>
                    <w:rPr>
                      <w:rFonts w:hint="eastAsia"/>
                      <w:spacing w:val="-4"/>
                    </w:rPr>
                    <w:t>别按照机动船舶税额的50%计算</w:t>
                  </w:r>
                </w:p>
              </w:tc>
            </w:tr>
            <w:tr w14:paraId="14A0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6E9117F">
                  <w:pPr>
                    <w:pStyle w:val="4"/>
                    <w:jc w:val="center"/>
                  </w:pPr>
                </w:p>
              </w:tc>
              <w:tc>
                <w:tcPr>
                  <w:tcW w:w="2272" w:type="dxa"/>
                  <w:vAlign w:val="center"/>
                </w:tcPr>
                <w:p w14:paraId="19DB7479">
                  <w:pPr>
                    <w:pStyle w:val="4"/>
                    <w:jc w:val="center"/>
                  </w:pPr>
                  <w:r>
                    <w:rPr>
                      <w:rFonts w:hint="eastAsia"/>
                    </w:rPr>
                    <w:t>游艇</w:t>
                  </w:r>
                </w:p>
              </w:tc>
              <w:tc>
                <w:tcPr>
                  <w:tcW w:w="1295" w:type="dxa"/>
                  <w:vAlign w:val="center"/>
                </w:tcPr>
                <w:p w14:paraId="4CB08750">
                  <w:pPr>
                    <w:pStyle w:val="4"/>
                    <w:jc w:val="center"/>
                  </w:pPr>
                  <w:r>
                    <w:rPr>
                      <w:rFonts w:hint="eastAsia"/>
                    </w:rPr>
                    <w:t>艇身长度每米</w:t>
                  </w:r>
                </w:p>
              </w:tc>
              <w:tc>
                <w:tcPr>
                  <w:tcW w:w="1621" w:type="dxa"/>
                  <w:vAlign w:val="center"/>
                </w:tcPr>
                <w:p w14:paraId="003757E6">
                  <w:pPr>
                    <w:pStyle w:val="4"/>
                    <w:ind w:firstLine="90" w:firstLineChars="50"/>
                  </w:pPr>
                  <w:r>
                    <w:t>600</w:t>
                  </w:r>
                  <w:r>
                    <w:rPr>
                      <w:rFonts w:hint="eastAsia"/>
                    </w:rPr>
                    <w:t>～</w:t>
                  </w:r>
                  <w:r>
                    <w:t>2 000</w:t>
                  </w:r>
                  <w:r>
                    <w:rPr>
                      <w:rFonts w:hint="eastAsia"/>
                    </w:rPr>
                    <w:t>元</w:t>
                  </w:r>
                </w:p>
              </w:tc>
              <w:tc>
                <w:tcPr>
                  <w:tcW w:w="1774" w:type="dxa"/>
                  <w:vAlign w:val="center"/>
                </w:tcPr>
                <w:p w14:paraId="596228D0">
                  <w:pPr>
                    <w:pStyle w:val="4"/>
                    <w:ind w:firstLine="180" w:firstLineChars="100"/>
                  </w:pPr>
                </w:p>
              </w:tc>
            </w:tr>
          </w:tbl>
          <w:p w14:paraId="04092B12">
            <w:pPr>
              <w:pStyle w:val="4"/>
              <w:ind w:firstLine="360" w:firstLineChars="200"/>
              <w:jc w:val="center"/>
              <w:rPr>
                <w:lang w:bidi="ar"/>
              </w:rPr>
            </w:pPr>
          </w:p>
          <w:p w14:paraId="4118D648">
            <w:pPr>
              <w:pStyle w:val="4"/>
              <w:ind w:firstLine="360" w:firstLineChars="200"/>
              <w:rPr>
                <w:lang w:bidi="ar"/>
              </w:rPr>
            </w:pPr>
            <w:r>
              <w:rPr>
                <w:rFonts w:hint="eastAsia"/>
                <w:lang w:bidi="ar"/>
              </w:rPr>
              <w:t>注：整备质量是指车辆按出厂技术条件装备完整且添满各种油水后的重量。</w:t>
            </w:r>
          </w:p>
          <w:p w14:paraId="4AECBC9A">
            <w:pPr>
              <w:pStyle w:val="4"/>
              <w:ind w:firstLine="360" w:firstLineChars="200"/>
              <w:rPr>
                <w:lang w:bidi="ar"/>
              </w:rPr>
            </w:pPr>
            <w:r>
              <w:rPr>
                <w:rFonts w:hint="eastAsia"/>
                <w:lang w:bidi="ar"/>
              </w:rPr>
              <w:t>车辆的具体适用税额由省、自治区、直辖市人民政府依照规定的税额幅度和国务院的规定确定。船舶的具体适用税额由国务院在规定的税额幅度内确定。</w:t>
            </w:r>
          </w:p>
          <w:p w14:paraId="786916DF">
            <w:pPr>
              <w:pStyle w:val="4"/>
              <w:ind w:firstLine="360" w:firstLineChars="200"/>
              <w:rPr>
                <w:rFonts w:ascii="微软雅黑" w:hAnsi="微软雅黑" w:cs="MS Mincho"/>
                <w:b/>
                <w:szCs w:val="18"/>
              </w:rPr>
            </w:pPr>
            <w:r>
              <w:rPr>
                <w:rFonts w:hint="eastAsia"/>
                <w:b/>
                <w:lang w:bidi="ar"/>
              </w:rPr>
              <w:t>（</w:t>
            </w:r>
            <w:r>
              <w:rPr>
                <w:rFonts w:hint="eastAsia"/>
                <w:b/>
                <w:lang w:val="en-US" w:eastAsia="zh-CN" w:bidi="ar"/>
              </w:rPr>
              <w:t>四</w:t>
            </w:r>
            <w:r>
              <w:rPr>
                <w:rFonts w:hint="eastAsia"/>
                <w:b/>
                <w:lang w:bidi="ar"/>
              </w:rPr>
              <w:t>）</w:t>
            </w:r>
            <w:r>
              <w:rPr>
                <w:rFonts w:hint="eastAsia"/>
                <w:b/>
                <w:lang w:val="en-US" w:eastAsia="zh-CN" w:bidi="ar"/>
              </w:rPr>
              <w:t>车船税</w:t>
            </w:r>
            <w:r>
              <w:rPr>
                <w:rFonts w:hint="eastAsia"/>
                <w:b/>
                <w:lang w:bidi="ar"/>
              </w:rPr>
              <w:t>税收优惠</w:t>
            </w:r>
          </w:p>
          <w:p w14:paraId="62E0D20D">
            <w:pPr>
              <w:pStyle w:val="4"/>
              <w:ind w:firstLine="360" w:firstLineChars="200"/>
              <w:rPr>
                <w:lang w:bidi="ar"/>
              </w:rPr>
            </w:pPr>
            <w:r>
              <w:rPr>
                <w:rFonts w:hint="eastAsia"/>
                <w:lang w:bidi="ar"/>
              </w:rPr>
              <w:t>（1）捕捞、养殖渔船，免征车船税。</w:t>
            </w:r>
          </w:p>
          <w:p w14:paraId="2B09785B">
            <w:pPr>
              <w:pStyle w:val="4"/>
              <w:ind w:firstLine="360" w:firstLineChars="200"/>
              <w:rPr>
                <w:lang w:bidi="ar"/>
              </w:rPr>
            </w:pPr>
            <w:r>
              <w:rPr>
                <w:rFonts w:hint="eastAsia"/>
                <w:lang w:bidi="ar"/>
              </w:rPr>
              <w:t>（2）军队、武装警察部队专用的车船，免征车船税。</w:t>
            </w:r>
          </w:p>
          <w:p w14:paraId="7C91E1F8">
            <w:pPr>
              <w:pStyle w:val="4"/>
              <w:ind w:firstLine="360" w:firstLineChars="200"/>
              <w:rPr>
                <w:lang w:bidi="ar"/>
              </w:rPr>
            </w:pPr>
            <w:r>
              <w:rPr>
                <w:rFonts w:hint="eastAsia"/>
                <w:lang w:bidi="ar"/>
              </w:rPr>
              <w:t>（3）警用车船，免征车船税。</w:t>
            </w:r>
          </w:p>
          <w:p w14:paraId="0A4D1CC3">
            <w:pPr>
              <w:pStyle w:val="4"/>
              <w:ind w:firstLine="360" w:firstLineChars="200"/>
              <w:rPr>
                <w:lang w:bidi="ar"/>
              </w:rPr>
            </w:pPr>
            <w:r>
              <w:rPr>
                <w:rFonts w:hint="eastAsia"/>
                <w:lang w:bidi="ar"/>
              </w:rPr>
              <w:t>（4）悬挂应急救援专用号牌的国家综合性消防救援车辆和国家综合性消防救援专用船舶，免征车船税。</w:t>
            </w:r>
          </w:p>
          <w:p w14:paraId="67C33DC8">
            <w:pPr>
              <w:pStyle w:val="4"/>
              <w:ind w:firstLine="360" w:firstLineChars="200"/>
              <w:rPr>
                <w:lang w:bidi="ar"/>
              </w:rPr>
            </w:pPr>
            <w:r>
              <w:rPr>
                <w:rFonts w:hint="eastAsia"/>
                <w:lang w:bidi="ar"/>
              </w:rPr>
              <w:t>（5）依照法律规定应当予以免税的外国驻华使领馆、国际组织驻华代表机构及其有关人员的车船，免征车船税。</w:t>
            </w:r>
          </w:p>
          <w:p w14:paraId="550BF748">
            <w:pPr>
              <w:pStyle w:val="4"/>
              <w:ind w:firstLine="360" w:firstLineChars="200"/>
              <w:rPr>
                <w:lang w:bidi="ar"/>
              </w:rPr>
            </w:pPr>
            <w:r>
              <w:rPr>
                <w:rFonts w:hint="eastAsia"/>
                <w:lang w:bidi="ar"/>
              </w:rPr>
              <w:t>（6）节能汽车，减半征收车船税。</w:t>
            </w:r>
          </w:p>
          <w:p w14:paraId="7F06219B">
            <w:pPr>
              <w:pStyle w:val="4"/>
              <w:ind w:firstLine="360" w:firstLineChars="200"/>
              <w:rPr>
                <w:lang w:bidi="ar"/>
              </w:rPr>
            </w:pPr>
            <w:r>
              <w:rPr>
                <w:rFonts w:hint="eastAsia"/>
                <w:lang w:bidi="ar"/>
              </w:rPr>
              <w:t>（7）新能源车船，免征车船税。</w:t>
            </w:r>
          </w:p>
          <w:p w14:paraId="0F15F1D0">
            <w:pPr>
              <w:pStyle w:val="4"/>
              <w:ind w:firstLine="360" w:firstLineChars="200"/>
              <w:rPr>
                <w:lang w:bidi="ar"/>
              </w:rPr>
            </w:pPr>
            <w:r>
              <w:rPr>
                <w:rFonts w:hint="eastAsia"/>
                <w:lang w:bidi="ar"/>
              </w:rPr>
              <w:t>（8）对受严重自然灾害影响纳税困难及有其他特殊原因确需减税、免税的，可以减征或者免征车船税。具体办法由国务院规定，并报全国人民代表大会常务委员会备案。</w:t>
            </w:r>
          </w:p>
          <w:p w14:paraId="057F2667">
            <w:pPr>
              <w:pStyle w:val="4"/>
              <w:ind w:firstLine="360" w:firstLineChars="200"/>
              <w:rPr>
                <w:lang w:bidi="ar"/>
              </w:rPr>
            </w:pPr>
            <w:r>
              <w:rPr>
                <w:rFonts w:hint="eastAsia"/>
                <w:lang w:bidi="ar"/>
              </w:rPr>
              <w:t>（9）省、自治区、直辖市人民政府根据当地实际情况，可以对公共交通车船，农村居民拥有并主要在农村地区使用的摩托车、三轮汽车和低速载货汽车定期减征或者免征车船税。</w:t>
            </w:r>
          </w:p>
          <w:p w14:paraId="505DEEE4">
            <w:pPr>
              <w:pStyle w:val="4"/>
              <w:shd w:val="clear" w:color="auto" w:fill="FDF3ED"/>
              <w:ind w:firstLine="360" w:firstLineChars="200"/>
              <w:rPr>
                <w:rFonts w:ascii="MS Mincho" w:hAnsi="MS Mincho" w:cs="MS Mincho"/>
                <w:b/>
              </w:rPr>
            </w:pPr>
            <w:r>
              <w:rPr>
                <w:rFonts w:hint="eastAsia"/>
                <w:b/>
              </w:rPr>
              <w:t>【课堂互动】</w:t>
            </w:r>
          </w:p>
          <w:p w14:paraId="376B4281">
            <w:pPr>
              <w:pStyle w:val="4"/>
              <w:shd w:val="clear" w:color="auto" w:fill="FDF3ED"/>
              <w:ind w:firstLine="360" w:firstLineChars="200"/>
              <w:rPr>
                <w:b/>
              </w:rPr>
            </w:pPr>
            <w:r>
              <w:rPr>
                <w:rFonts w:ascii="MS Mincho" w:hAnsi="MS Mincho" w:cs="MS Mincho"/>
                <w:b/>
              </w:rPr>
              <w:t>✈</w:t>
            </w:r>
            <w:r>
              <w:rPr>
                <w:rFonts w:hint="eastAsia"/>
                <w:b/>
              </w:rPr>
              <w:t>【教师】提出问题</w:t>
            </w:r>
          </w:p>
          <w:p w14:paraId="0330C47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近年来，国家对符合条件的新能源汽车免征车辆购置税、车船税，引导公民绿色低碳出行；对资源型产品和钢铁初级产品等实施零关税或低关税等，引导企业绿色低碳发展；等等。这一系列举措都表明国家在大力落实支持环境保护和绿色发展税收政策。</w:t>
            </w:r>
          </w:p>
          <w:p w14:paraId="7973BB4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从我们身边出发，想一想，我国支持绿色低碳发展的税收政策还有哪些？对人们的生活有何影响？</w:t>
            </w:r>
          </w:p>
          <w:p w14:paraId="2CEB82E2">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699530E7">
            <w:pPr>
              <w:widowControl w:val="0"/>
              <w:shd w:val="clear" w:color="auto" w:fill="FDF3ED"/>
              <w:tabs>
                <w:tab w:val="right" w:pos="7560"/>
              </w:tabs>
              <w:spacing w:after="0" w:line="240" w:lineRule="auto"/>
              <w:ind w:firstLine="361" w:firstLineChars="200"/>
              <w:rPr>
                <w:rFonts w:hint="eastAsia"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6D1D0127">
            <w:pPr>
              <w:widowControl w:val="0"/>
              <w:shd w:val="clear" w:color="auto" w:fill="FDF3ED"/>
              <w:tabs>
                <w:tab w:val="right" w:pos="7560"/>
              </w:tabs>
              <w:spacing w:after="0" w:line="240" w:lineRule="auto"/>
              <w:ind w:firstLine="360" w:firstLineChars="200"/>
              <w:rPr>
                <w:rFonts w:hint="eastAsia" w:ascii="Times New Roman" w:hAnsi="Times New Roman" w:eastAsia="微软雅黑"/>
                <w:b/>
                <w:sz w:val="18"/>
              </w:rPr>
            </w:pPr>
          </w:p>
          <w:p w14:paraId="4E59A89F">
            <w:pPr>
              <w:pStyle w:val="4"/>
              <w:ind w:firstLine="360" w:firstLineChars="200"/>
              <w:rPr>
                <w:b/>
                <w:lang w:bidi="ar"/>
              </w:rPr>
            </w:pPr>
            <w:r>
              <w:rPr>
                <w:rFonts w:hint="eastAsia"/>
                <w:b/>
                <w:lang w:val="en-US" w:eastAsia="zh-CN" w:bidi="ar"/>
              </w:rPr>
              <w:t>二</w:t>
            </w:r>
            <w:r>
              <w:rPr>
                <w:rFonts w:hint="eastAsia"/>
                <w:b/>
                <w:lang w:bidi="ar"/>
              </w:rPr>
              <w:t>、车船税</w:t>
            </w:r>
            <w:r>
              <w:rPr>
                <w:rFonts w:hint="eastAsia"/>
                <w:b/>
                <w:lang w:val="en-US" w:eastAsia="zh-CN" w:bidi="ar"/>
              </w:rPr>
              <w:t>应纳税额的</w:t>
            </w:r>
            <w:r>
              <w:rPr>
                <w:rFonts w:hint="eastAsia"/>
                <w:b/>
                <w:lang w:bidi="ar"/>
              </w:rPr>
              <w:t>计算</w:t>
            </w:r>
          </w:p>
          <w:p w14:paraId="7D33C7B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【教师】讲解车船税的应纳税额如何计算</w:t>
            </w:r>
          </w:p>
          <w:p w14:paraId="50B0D05C">
            <w:pPr>
              <w:pStyle w:val="4"/>
              <w:ind w:firstLine="360" w:firstLineChars="200"/>
              <w:rPr>
                <w:b/>
                <w:lang w:bidi="ar"/>
              </w:rPr>
            </w:pPr>
            <w:r>
              <w:rPr>
                <w:rFonts w:hint="eastAsia"/>
                <w:b/>
                <w:lang w:bidi="ar"/>
              </w:rPr>
              <w:t>（一）计税依据</w:t>
            </w:r>
          </w:p>
          <w:p w14:paraId="01F05AE9">
            <w:pPr>
              <w:pStyle w:val="4"/>
              <w:ind w:firstLine="360" w:firstLineChars="200"/>
              <w:rPr>
                <w:lang w:bidi="ar"/>
              </w:rPr>
            </w:pPr>
            <w:r>
              <w:rPr>
                <w:rFonts w:hint="eastAsia"/>
                <w:lang w:bidi="ar"/>
              </w:rPr>
              <w:t>（1）乘用车、商用客车、摩托车以辆数为计税依据。</w:t>
            </w:r>
          </w:p>
          <w:p w14:paraId="2769FD64">
            <w:pPr>
              <w:pStyle w:val="4"/>
              <w:ind w:firstLine="360" w:firstLineChars="200"/>
              <w:rPr>
                <w:lang w:bidi="ar"/>
              </w:rPr>
            </w:pPr>
            <w:r>
              <w:rPr>
                <w:rFonts w:hint="eastAsia"/>
                <w:lang w:bidi="ar"/>
              </w:rPr>
              <w:t>（2）商用货车、挂车、专用作业车、轮式专用机械车以整备质量吨位数为计税依据。</w:t>
            </w:r>
          </w:p>
          <w:p w14:paraId="343ABE51">
            <w:pPr>
              <w:pStyle w:val="4"/>
              <w:ind w:firstLine="360" w:firstLineChars="200"/>
              <w:rPr>
                <w:lang w:bidi="ar"/>
              </w:rPr>
            </w:pPr>
            <w:r>
              <w:rPr>
                <w:rFonts w:hint="eastAsia"/>
                <w:lang w:bidi="ar"/>
              </w:rPr>
              <w:t>（3）机动船舶、拖船、非机动驳船以净吨位数为计税依据。</w:t>
            </w:r>
          </w:p>
          <w:p w14:paraId="14E1F360">
            <w:pPr>
              <w:pStyle w:val="4"/>
              <w:ind w:firstLine="360" w:firstLineChars="200"/>
              <w:rPr>
                <w:lang w:bidi="ar"/>
              </w:rPr>
            </w:pPr>
            <w:r>
              <w:rPr>
                <w:rFonts w:hint="eastAsia"/>
                <w:lang w:bidi="ar"/>
              </w:rPr>
              <w:t>（4）游艇以艇身长度为计税依据。</w:t>
            </w:r>
          </w:p>
          <w:p w14:paraId="5C58DA09">
            <w:pPr>
              <w:pStyle w:val="4"/>
              <w:ind w:firstLine="360" w:firstLineChars="200"/>
              <w:rPr>
                <w:rFonts w:ascii="微软雅黑" w:hAnsi="微软雅黑" w:cs="MS Mincho"/>
                <w:b/>
                <w:szCs w:val="18"/>
              </w:rPr>
            </w:pPr>
            <w:r>
              <w:rPr>
                <w:rFonts w:hint="eastAsia"/>
                <w:b/>
                <w:lang w:bidi="ar"/>
              </w:rPr>
              <w:t>（二）应纳税额的计算</w:t>
            </w:r>
          </w:p>
          <w:p w14:paraId="3266252B">
            <w:pPr>
              <w:pStyle w:val="4"/>
              <w:ind w:firstLine="360" w:firstLineChars="200"/>
              <w:rPr>
                <w:lang w:bidi="ar"/>
              </w:rPr>
            </w:pPr>
            <w:r>
              <w:rPr>
                <w:rFonts w:hint="eastAsia"/>
                <w:lang w:bidi="ar"/>
              </w:rPr>
              <w:t>1．乘用车、商用客车、摩托车应纳税额的计算</w:t>
            </w:r>
          </w:p>
          <w:p w14:paraId="67954B94">
            <w:pPr>
              <w:pStyle w:val="4"/>
              <w:ind w:firstLine="360" w:firstLineChars="200"/>
              <w:rPr>
                <w:lang w:bidi="ar"/>
              </w:rPr>
            </w:pPr>
            <w:r>
              <w:rPr>
                <w:rFonts w:hint="eastAsia"/>
                <w:lang w:bidi="ar"/>
              </w:rPr>
              <w:t>乘用车、商用客车、摩托车应纳税额的计算公式如下：</w:t>
            </w:r>
          </w:p>
          <w:p w14:paraId="5C7A5F9C">
            <w:pPr>
              <w:pStyle w:val="4"/>
              <w:shd w:val="clear" w:color="auto" w:fill="FDF3ED"/>
              <w:ind w:firstLine="360" w:firstLineChars="200"/>
              <w:jc w:val="center"/>
              <w:rPr>
                <w:b/>
                <w:lang w:bidi="ar"/>
              </w:rPr>
            </w:pPr>
            <w:r>
              <w:rPr>
                <w:rFonts w:hint="eastAsia"/>
                <w:b/>
                <w:lang w:bidi="ar"/>
              </w:rPr>
              <w:t>应纳税额=辆数×适用的年基准税额</w:t>
            </w:r>
          </w:p>
          <w:p w14:paraId="7A80E2F7">
            <w:pPr>
              <w:pStyle w:val="4"/>
              <w:ind w:firstLine="360" w:firstLineChars="200"/>
              <w:rPr>
                <w:lang w:bidi="ar"/>
              </w:rPr>
            </w:pPr>
            <w:r>
              <w:rPr>
                <w:rFonts w:hint="eastAsia"/>
                <w:lang w:bidi="ar"/>
              </w:rPr>
              <w:t>2．商用货车、专用作业车、轮式专用机械车应纳税额的计算</w:t>
            </w:r>
          </w:p>
          <w:p w14:paraId="1969BEAC">
            <w:pPr>
              <w:pStyle w:val="4"/>
              <w:ind w:firstLine="360" w:firstLineChars="200"/>
              <w:rPr>
                <w:lang w:bidi="ar"/>
              </w:rPr>
            </w:pPr>
            <w:r>
              <w:rPr>
                <w:rFonts w:hint="eastAsia"/>
                <w:lang w:bidi="ar"/>
              </w:rPr>
              <w:t>商用货车、专用作业车、轮式专用机械车应纳税额的计算公式如下：</w:t>
            </w:r>
          </w:p>
          <w:p w14:paraId="1F61DF3C">
            <w:pPr>
              <w:pStyle w:val="4"/>
              <w:shd w:val="clear" w:color="auto" w:fill="FDF3ED"/>
              <w:ind w:firstLine="360" w:firstLineChars="200"/>
              <w:jc w:val="center"/>
              <w:rPr>
                <w:b/>
                <w:lang w:bidi="ar"/>
              </w:rPr>
            </w:pPr>
            <w:r>
              <w:rPr>
                <w:rFonts w:hint="eastAsia"/>
                <w:b/>
                <w:lang w:bidi="ar"/>
              </w:rPr>
              <w:t>应纳税额=整备质量吨位数×适用的年基准税额</w:t>
            </w:r>
          </w:p>
          <w:p w14:paraId="1F039241">
            <w:pPr>
              <w:pStyle w:val="4"/>
              <w:ind w:firstLine="360" w:firstLineChars="200"/>
              <w:rPr>
                <w:lang w:bidi="ar"/>
              </w:rPr>
            </w:pPr>
            <w:r>
              <w:rPr>
                <w:rFonts w:hint="eastAsia"/>
                <w:lang w:bidi="ar"/>
              </w:rPr>
              <w:t>3．挂车应纳税额的计算</w:t>
            </w:r>
          </w:p>
          <w:p w14:paraId="44614CF4">
            <w:pPr>
              <w:pStyle w:val="4"/>
              <w:ind w:firstLine="360" w:firstLineChars="200"/>
              <w:rPr>
                <w:lang w:bidi="ar"/>
              </w:rPr>
            </w:pPr>
            <w:r>
              <w:rPr>
                <w:rFonts w:hint="eastAsia"/>
                <w:lang w:bidi="ar"/>
              </w:rPr>
              <w:t>挂车应纳税额的计算公式如下：</w:t>
            </w:r>
          </w:p>
          <w:p w14:paraId="7D92A116">
            <w:pPr>
              <w:pStyle w:val="4"/>
              <w:shd w:val="clear" w:color="auto" w:fill="FDF3ED"/>
              <w:ind w:firstLine="360" w:firstLineChars="200"/>
              <w:jc w:val="center"/>
              <w:rPr>
                <w:b/>
                <w:lang w:bidi="ar"/>
              </w:rPr>
            </w:pPr>
            <w:r>
              <w:rPr>
                <w:rFonts w:hint="eastAsia"/>
                <w:b/>
                <w:lang w:bidi="ar"/>
              </w:rPr>
              <w:t>应纳税额=整备质量吨位数×适用的年基准税额×50%</w:t>
            </w:r>
          </w:p>
          <w:p w14:paraId="2320BB6B">
            <w:pPr>
              <w:pStyle w:val="4"/>
              <w:ind w:firstLine="360" w:firstLineChars="200"/>
              <w:rPr>
                <w:lang w:bidi="ar"/>
              </w:rPr>
            </w:pPr>
            <w:r>
              <w:rPr>
                <w:rFonts w:hint="eastAsia"/>
                <w:lang w:bidi="ar"/>
              </w:rPr>
              <w:t>4．机动船舶</w:t>
            </w:r>
          </w:p>
          <w:p w14:paraId="56D9B6A6">
            <w:pPr>
              <w:pStyle w:val="4"/>
              <w:ind w:firstLine="360" w:firstLineChars="200"/>
              <w:rPr>
                <w:lang w:bidi="ar"/>
              </w:rPr>
            </w:pPr>
            <w:r>
              <w:rPr>
                <w:rFonts w:hint="eastAsia"/>
                <w:lang w:bidi="ar"/>
              </w:rPr>
              <w:t>机动船舶应纳税额的计算公式如下：</w:t>
            </w:r>
          </w:p>
          <w:p w14:paraId="0F17DC8C">
            <w:pPr>
              <w:pStyle w:val="4"/>
              <w:shd w:val="clear" w:color="auto" w:fill="FDF3ED"/>
              <w:ind w:firstLine="360" w:firstLineChars="200"/>
              <w:jc w:val="center"/>
              <w:rPr>
                <w:b/>
                <w:lang w:bidi="ar"/>
              </w:rPr>
            </w:pPr>
            <w:r>
              <w:rPr>
                <w:rFonts w:hint="eastAsia"/>
                <w:b/>
                <w:lang w:bidi="ar"/>
              </w:rPr>
              <w:t>应纳税额=净吨位数×适用的年基准税额</w:t>
            </w:r>
          </w:p>
          <w:p w14:paraId="09B9CB37">
            <w:pPr>
              <w:pStyle w:val="4"/>
              <w:ind w:firstLine="360" w:firstLineChars="200"/>
              <w:rPr>
                <w:lang w:bidi="ar"/>
              </w:rPr>
            </w:pPr>
            <w:r>
              <w:rPr>
                <w:rFonts w:hint="eastAsia"/>
                <w:lang w:bidi="ar"/>
              </w:rPr>
              <w:t>5．拖船、非机动驳船应纳税额的计算</w:t>
            </w:r>
          </w:p>
          <w:p w14:paraId="7FBF4820">
            <w:pPr>
              <w:pStyle w:val="4"/>
              <w:ind w:firstLine="360" w:firstLineChars="200"/>
              <w:rPr>
                <w:lang w:bidi="ar"/>
              </w:rPr>
            </w:pPr>
            <w:r>
              <w:rPr>
                <w:rFonts w:hint="eastAsia"/>
                <w:lang w:bidi="ar"/>
              </w:rPr>
              <w:t>拖船、非机动驳船应纳税额的计算公式如下：</w:t>
            </w:r>
          </w:p>
          <w:p w14:paraId="70EE7AC6">
            <w:pPr>
              <w:pStyle w:val="4"/>
              <w:shd w:val="clear" w:color="auto" w:fill="FDF3ED"/>
              <w:ind w:firstLine="360" w:firstLineChars="200"/>
              <w:jc w:val="center"/>
              <w:rPr>
                <w:b/>
                <w:lang w:bidi="ar"/>
              </w:rPr>
            </w:pPr>
            <w:r>
              <w:rPr>
                <w:rFonts w:hint="eastAsia"/>
                <w:b/>
                <w:lang w:bidi="ar"/>
              </w:rPr>
              <w:t>应纳税额=净吨位数×适用的年基准税额×50%</w:t>
            </w:r>
          </w:p>
          <w:p w14:paraId="615C3434">
            <w:pPr>
              <w:pStyle w:val="4"/>
              <w:ind w:firstLine="360" w:firstLineChars="200"/>
              <w:rPr>
                <w:lang w:bidi="ar"/>
              </w:rPr>
            </w:pPr>
            <w:r>
              <w:rPr>
                <w:rFonts w:hint="eastAsia"/>
                <w:lang w:bidi="ar"/>
              </w:rPr>
              <w:t>6．游艇应纳税额的计算</w:t>
            </w:r>
          </w:p>
          <w:p w14:paraId="0F08294F">
            <w:pPr>
              <w:pStyle w:val="4"/>
              <w:ind w:firstLine="360" w:firstLineChars="200"/>
              <w:rPr>
                <w:lang w:bidi="ar"/>
              </w:rPr>
            </w:pPr>
            <w:r>
              <w:rPr>
                <w:rFonts w:hint="eastAsia"/>
                <w:lang w:bidi="ar"/>
              </w:rPr>
              <w:t>游艇应纳税额的计算公式如下：</w:t>
            </w:r>
          </w:p>
          <w:p w14:paraId="088C2DC6">
            <w:pPr>
              <w:pStyle w:val="4"/>
              <w:shd w:val="clear" w:color="auto" w:fill="FDF3ED"/>
              <w:ind w:firstLine="360" w:firstLineChars="200"/>
              <w:jc w:val="center"/>
              <w:rPr>
                <w:b/>
                <w:lang w:bidi="ar"/>
              </w:rPr>
            </w:pPr>
            <w:r>
              <w:rPr>
                <w:rFonts w:hint="eastAsia"/>
                <w:b/>
                <w:lang w:bidi="ar"/>
              </w:rPr>
              <w:t>应纳税额=艇身长度×适用年基准税额</w:t>
            </w:r>
          </w:p>
          <w:p w14:paraId="6EFF3399">
            <w:pPr>
              <w:pStyle w:val="4"/>
              <w:ind w:firstLine="360" w:firstLineChars="200"/>
              <w:jc w:val="center"/>
              <w:rPr>
                <w:rFonts w:hint="eastAsia"/>
                <w:lang w:bidi="ar"/>
              </w:rPr>
            </w:pPr>
          </w:p>
          <w:p w14:paraId="109C4C09">
            <w:pPr>
              <w:pStyle w:val="4"/>
              <w:shd w:val="clear" w:color="auto" w:fill="FDF3ED"/>
              <w:ind w:firstLine="360" w:firstLineChars="200"/>
              <w:rPr>
                <w:rFonts w:ascii="MS Mincho" w:hAnsi="MS Mincho" w:cs="MS Mincho"/>
                <w:b/>
              </w:rPr>
            </w:pPr>
            <w:r>
              <w:rPr>
                <w:rFonts w:hint="eastAsia"/>
                <w:b/>
              </w:rPr>
              <w:t>【课堂互动】</w:t>
            </w:r>
          </w:p>
          <w:p w14:paraId="25831E99">
            <w:pPr>
              <w:pStyle w:val="4"/>
              <w:shd w:val="clear" w:color="auto" w:fill="FDF3ED"/>
              <w:ind w:firstLine="360" w:firstLineChars="200"/>
              <w:rPr>
                <w:b/>
              </w:rPr>
            </w:pPr>
            <w:r>
              <w:rPr>
                <w:rFonts w:ascii="MS Mincho" w:hAnsi="MS Mincho" w:cs="MS Mincho"/>
                <w:b/>
              </w:rPr>
              <w:t>✈</w:t>
            </w:r>
            <w:r>
              <w:rPr>
                <w:rFonts w:hint="eastAsia"/>
                <w:b/>
              </w:rPr>
              <w:t>【教师】提出问题</w:t>
            </w:r>
          </w:p>
          <w:p w14:paraId="363C327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上述公式中的整备质量吨位数、净吨位数、艇身长度等，若有尾数，该如何计算？</w:t>
            </w:r>
          </w:p>
          <w:p w14:paraId="13AA455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242B7C1">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33DE73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上述公式中的整备质量吨位数、净吨位数、艇身长度等，若有尾数，一律据实计算。计算得出的应纳税额小数点后超过两位的可四舍五入保留两位小数。</w:t>
            </w:r>
          </w:p>
          <w:p w14:paraId="021F39F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40B87F2">
            <w:pPr>
              <w:pStyle w:val="4"/>
              <w:ind w:firstLine="360" w:firstLineChars="200"/>
              <w:rPr>
                <w:lang w:bidi="ar"/>
              </w:rPr>
            </w:pPr>
            <w:r>
              <w:rPr>
                <w:rFonts w:hint="eastAsia"/>
                <w:lang w:bidi="ar"/>
              </w:rPr>
              <w:t>7．购置新车船应纳税额的计算</w:t>
            </w:r>
          </w:p>
          <w:p w14:paraId="7D0E5E80">
            <w:pPr>
              <w:pStyle w:val="4"/>
              <w:ind w:firstLine="360" w:firstLineChars="200"/>
              <w:rPr>
                <w:lang w:bidi="ar"/>
              </w:rPr>
            </w:pPr>
            <w:r>
              <w:rPr>
                <w:rFonts w:hint="eastAsia"/>
                <w:lang w:bidi="ar"/>
              </w:rPr>
              <w:t>纳税人购置的新车船，购置当年的应纳税额自纳税义务发生的当月起按月计算。应纳税额为年应纳税额除以12再乘以应纳税月份数。计算公式如下：</w:t>
            </w:r>
          </w:p>
          <w:p w14:paraId="3FDB15AA">
            <w:pPr>
              <w:pStyle w:val="4"/>
              <w:shd w:val="clear" w:color="auto" w:fill="FDF3ED"/>
              <w:ind w:firstLine="360" w:firstLineChars="200"/>
              <w:jc w:val="center"/>
              <w:rPr>
                <w:b/>
                <w:lang w:bidi="ar"/>
              </w:rPr>
            </w:pPr>
            <w:r>
              <w:rPr>
                <w:rFonts w:hint="eastAsia"/>
                <w:b/>
                <w:lang w:bidi="ar"/>
              </w:rPr>
              <w:t>应纳税额=年应纳税额÷12×应纳税月份数</w:t>
            </w:r>
          </w:p>
          <w:p w14:paraId="6B375D10">
            <w:pPr>
              <w:pStyle w:val="4"/>
              <w:ind w:firstLine="360" w:firstLineChars="200"/>
              <w:jc w:val="center"/>
              <w:rPr>
                <w:rFonts w:hint="eastAsia"/>
                <w:lang w:bidi="ar"/>
              </w:rPr>
            </w:pPr>
          </w:p>
          <w:p w14:paraId="07CFB9F5">
            <w:pPr>
              <w:pStyle w:val="4"/>
              <w:shd w:val="clear" w:color="auto" w:fill="FDF3ED"/>
              <w:ind w:firstLine="360" w:firstLineChars="200"/>
              <w:rPr>
                <w:rFonts w:hint="eastAsia"/>
                <w:b/>
              </w:rPr>
            </w:pPr>
            <w:r>
              <w:rPr>
                <w:rFonts w:ascii="MS Mincho" w:hAnsi="MS Mincho" w:cs="MS Mincho"/>
                <w:b/>
              </w:rPr>
              <w:t>✈</w:t>
            </w:r>
            <w:r>
              <w:rPr>
                <w:rFonts w:hint="eastAsia"/>
                <w:b/>
              </w:rPr>
              <w:t>【教师】通过讲解例题，</w:t>
            </w:r>
            <w:r>
              <w:rPr>
                <w:b/>
              </w:rPr>
              <w:t>帮助学生掌握</w:t>
            </w:r>
            <w:r>
              <w:rPr>
                <w:rFonts w:hint="eastAsia"/>
                <w:b/>
                <w:lang w:bidi="ar"/>
              </w:rPr>
              <w:t>车船税的</w:t>
            </w:r>
            <w:r>
              <w:rPr>
                <w:b/>
                <w:lang w:bidi="ar"/>
              </w:rPr>
              <w:t>计算方法</w:t>
            </w:r>
          </w:p>
          <w:p w14:paraId="60BEB43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10-3</w:t>
            </w:r>
            <w:r>
              <w:rPr>
                <w:rFonts w:hint="eastAsia" w:ascii="Times New Roman" w:hAnsi="Times New Roman" w:eastAsia="微软雅黑"/>
                <w:b/>
                <w:sz w:val="18"/>
              </w:rPr>
              <w:t>】</w:t>
            </w:r>
            <w:r>
              <w:rPr>
                <w:rFonts w:hint="eastAsia" w:ascii="Times New Roman" w:hAnsi="Times New Roman" w:eastAsia="微软雅黑"/>
                <w:sz w:val="18"/>
              </w:rPr>
              <w:t>2022年，某运输公司拥有乘用车10辆，商用客车20辆，商用货车15辆（整备质量均为10吨）。假设当地乘用车的年基准税额为每辆800元，商用客车的年基准税额为每辆700元，商用货车的年基准税额为每吨80元。请计算该公司当年应缴纳的车船税税额。</w:t>
            </w:r>
          </w:p>
          <w:p w14:paraId="3F7FE28C">
            <w:pPr>
              <w:pStyle w:val="4"/>
              <w:shd w:val="clear" w:color="auto" w:fill="FDF3ED"/>
              <w:ind w:firstLine="360" w:firstLineChars="200"/>
              <w:rPr>
                <w:b/>
              </w:rPr>
            </w:pPr>
            <w:r>
              <w:rPr>
                <w:rFonts w:hint="eastAsia"/>
                <w:b/>
              </w:rPr>
              <w:t>【解析】</w:t>
            </w:r>
          </w:p>
          <w:p w14:paraId="658B4D9B">
            <w:pPr>
              <w:widowControl w:val="0"/>
              <w:shd w:val="clear" w:color="auto" w:fill="FDF3ED"/>
              <w:tabs>
                <w:tab w:val="right" w:pos="7560"/>
              </w:tabs>
              <w:spacing w:after="252" w:afterLines="80" w:line="310" w:lineRule="exact"/>
              <w:ind w:firstLine="360" w:firstLineChars="200"/>
              <w:rPr>
                <w:rFonts w:ascii="Times New Roman" w:hAnsi="Times New Roman" w:eastAsia="微软雅黑"/>
                <w:sz w:val="18"/>
              </w:rPr>
            </w:pPr>
            <w:r>
              <w:rPr>
                <w:rFonts w:hint="eastAsia" w:ascii="Times New Roman" w:hAnsi="Times New Roman" w:eastAsia="微软雅黑"/>
                <w:sz w:val="18"/>
              </w:rPr>
              <w:t>应缴纳的车船税税额=10×800+20×700+15×10×80=34 000元</w:t>
            </w:r>
          </w:p>
          <w:p w14:paraId="0A0BABF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254EC078">
            <w:pPr>
              <w:pStyle w:val="4"/>
              <w:ind w:firstLine="360" w:firstLineChars="200"/>
              <w:rPr>
                <w:b/>
                <w:lang w:bidi="ar"/>
              </w:rPr>
            </w:pPr>
            <w:r>
              <w:rPr>
                <w:rFonts w:hint="eastAsia"/>
                <w:b/>
                <w:lang w:bidi="ar"/>
              </w:rPr>
              <w:t>三、车船税</w:t>
            </w:r>
            <w:r>
              <w:rPr>
                <w:rFonts w:hint="eastAsia"/>
                <w:b/>
                <w:lang w:val="en-US" w:eastAsia="zh-CN" w:bidi="ar"/>
              </w:rPr>
              <w:t>纳税</w:t>
            </w:r>
            <w:r>
              <w:rPr>
                <w:rFonts w:hint="eastAsia"/>
                <w:b/>
                <w:lang w:bidi="ar"/>
              </w:rPr>
              <w:t>申报</w:t>
            </w:r>
          </w:p>
          <w:p w14:paraId="59084F0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【教师】讲解如何申报车船税</w:t>
            </w:r>
          </w:p>
          <w:p w14:paraId="67DC2343">
            <w:pPr>
              <w:pStyle w:val="4"/>
              <w:ind w:firstLine="360" w:firstLineChars="200"/>
              <w:rPr>
                <w:b/>
                <w:lang w:bidi="ar"/>
              </w:rPr>
            </w:pPr>
            <w:r>
              <w:rPr>
                <w:rFonts w:hint="eastAsia"/>
                <w:b/>
                <w:lang w:bidi="ar"/>
              </w:rPr>
              <w:t>（一）纳税义务发生时间</w:t>
            </w:r>
          </w:p>
          <w:p w14:paraId="6F044860">
            <w:pPr>
              <w:pStyle w:val="4"/>
              <w:ind w:firstLine="360" w:firstLineChars="200"/>
              <w:rPr>
                <w:lang w:bidi="ar"/>
              </w:rPr>
            </w:pPr>
            <w:r>
              <w:rPr>
                <w:rFonts w:hint="eastAsia"/>
                <w:lang w:bidi="ar"/>
              </w:rPr>
              <w:t xml:space="preserve">车船税的纳税义务发生时间为取得车船所有权或者管理权的当月。 </w:t>
            </w:r>
          </w:p>
          <w:p w14:paraId="442CC7E6">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纳税地点</w:t>
            </w:r>
          </w:p>
          <w:p w14:paraId="0C288133">
            <w:pPr>
              <w:pStyle w:val="4"/>
              <w:ind w:firstLine="360" w:firstLineChars="200"/>
              <w:rPr>
                <w:lang w:bidi="ar"/>
              </w:rPr>
            </w:pPr>
            <w:r>
              <w:rPr>
                <w:rFonts w:hint="eastAsia"/>
                <w:lang w:bidi="ar"/>
              </w:rPr>
              <w:t>车船税的纳税地点为车船的登记地或者车船税扣缴义务人所在地。依法不需要办理登记的车船，车船税的纳税地点为车船的所有人或者管理人所在地。</w:t>
            </w:r>
          </w:p>
          <w:p w14:paraId="67DF5DD7">
            <w:pPr>
              <w:pStyle w:val="4"/>
              <w:shd w:val="clear" w:color="auto" w:fill="FDF3ED"/>
              <w:ind w:firstLine="360" w:firstLineChars="200"/>
              <w:rPr>
                <w:rFonts w:ascii="MS Mincho" w:hAnsi="MS Mincho" w:cs="MS Mincho"/>
                <w:b/>
              </w:rPr>
            </w:pPr>
            <w:r>
              <w:rPr>
                <w:rFonts w:hint="eastAsia"/>
                <w:b/>
              </w:rPr>
              <w:t>【知识拓展】</w:t>
            </w:r>
          </w:p>
          <w:p w14:paraId="752B34DF">
            <w:pPr>
              <w:pStyle w:val="4"/>
              <w:shd w:val="clear" w:color="auto" w:fill="FDF3ED"/>
              <w:ind w:firstLine="360" w:firstLineChars="200"/>
              <w:rPr>
                <w:b/>
              </w:rPr>
            </w:pPr>
            <w:r>
              <w:rPr>
                <w:rFonts w:ascii="MS Mincho" w:hAnsi="MS Mincho" w:cs="MS Mincho"/>
                <w:b/>
              </w:rPr>
              <w:t>✈</w:t>
            </w:r>
            <w:r>
              <w:rPr>
                <w:rFonts w:hint="eastAsia"/>
                <w:b/>
              </w:rPr>
              <w:t>【教师】讲解申报车船税相关知识</w:t>
            </w:r>
          </w:p>
          <w:p w14:paraId="73BCE10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办理机动车交通事故责任强制保险（以下简称“交强险”）业务的保险机构为机动车车船税的扣缴义务人。由保险机构在办理机动车交强险业务时代收代缴车船税，不仅可以节约征纳双方的成本，还可以实现车船税的源泉控管。</w:t>
            </w:r>
          </w:p>
          <w:p w14:paraId="5D0D6B8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DE3DD80">
            <w:pPr>
              <w:pStyle w:val="4"/>
              <w:ind w:firstLine="360" w:firstLineChars="200"/>
              <w:rPr>
                <w:b/>
                <w:lang w:bidi="ar"/>
              </w:rPr>
            </w:pPr>
            <w:r>
              <w:rPr>
                <w:rFonts w:hint="eastAsia"/>
                <w:b/>
                <w:lang w:eastAsia="zh-CN" w:bidi="ar"/>
              </w:rPr>
              <w:t>（</w:t>
            </w:r>
            <w:r>
              <w:rPr>
                <w:rFonts w:hint="eastAsia"/>
                <w:b/>
                <w:lang w:val="en-US" w:eastAsia="zh-CN" w:bidi="ar"/>
              </w:rPr>
              <w:t>三</w:t>
            </w:r>
            <w:r>
              <w:rPr>
                <w:rFonts w:hint="eastAsia"/>
                <w:b/>
                <w:lang w:eastAsia="zh-CN" w:bidi="ar"/>
              </w:rPr>
              <w:t>）</w:t>
            </w:r>
            <w:r>
              <w:rPr>
                <w:rFonts w:hint="eastAsia"/>
                <w:b/>
                <w:lang w:bidi="ar"/>
              </w:rPr>
              <w:t>纳税期限</w:t>
            </w:r>
          </w:p>
          <w:p w14:paraId="03097107">
            <w:pPr>
              <w:pStyle w:val="4"/>
              <w:ind w:firstLine="360" w:firstLineChars="200"/>
              <w:rPr>
                <w:lang w:bidi="ar"/>
              </w:rPr>
            </w:pPr>
            <w:r>
              <w:rPr>
                <w:rFonts w:hint="eastAsia"/>
                <w:lang w:bidi="ar"/>
              </w:rPr>
              <w:t>车船税按年申报缴纳。具体申报纳税期限由省、自治区、直辖市人民政府规定。</w:t>
            </w:r>
          </w:p>
          <w:p w14:paraId="6F0B4911">
            <w:pPr>
              <w:pStyle w:val="4"/>
              <w:shd w:val="clear" w:color="auto" w:fill="FDF3ED"/>
              <w:ind w:firstLine="360" w:firstLineChars="200"/>
              <w:rPr>
                <w:rFonts w:ascii="MS Mincho" w:hAnsi="MS Mincho" w:cs="MS Mincho"/>
                <w:b/>
              </w:rPr>
            </w:pPr>
            <w:r>
              <w:rPr>
                <w:rFonts w:hint="eastAsia"/>
                <w:b/>
              </w:rPr>
              <w:t>【知识拓展】</w:t>
            </w:r>
          </w:p>
          <w:p w14:paraId="7CFC8A22">
            <w:pPr>
              <w:pStyle w:val="4"/>
              <w:shd w:val="clear" w:color="auto" w:fill="FDF3ED"/>
              <w:ind w:firstLine="360" w:firstLineChars="200"/>
              <w:rPr>
                <w:b/>
              </w:rPr>
            </w:pPr>
            <w:r>
              <w:rPr>
                <w:rFonts w:ascii="MS Mincho" w:hAnsi="MS Mincho" w:cs="MS Mincho"/>
                <w:b/>
              </w:rPr>
              <w:t>✈</w:t>
            </w:r>
            <w:r>
              <w:rPr>
                <w:rFonts w:hint="eastAsia"/>
                <w:b/>
              </w:rPr>
              <w:t>【教师】讲解车船税纳税期限相关知识</w:t>
            </w:r>
          </w:p>
          <w:p w14:paraId="6D624D8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在一个纳税年度内，已完税的车船被盗抢、报废、灭失的，纳税人可以凭有关管理机关出具的证明和完税凭证，向主管税务机关申请退还自被盗抢、报废、灭失月份起至该纳税年度终了期间的税款。</w:t>
            </w:r>
          </w:p>
          <w:p w14:paraId="20D13B7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已办理退税的被盗抢车船失而复得的，纳税人应当从公安机关出具相关证明的当月起计算缴纳车船税。</w:t>
            </w:r>
          </w:p>
          <w:p w14:paraId="4269CBD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已缴纳车船税的车船在同一纳税年度内办理转让过户的，不另纳税，也不退税。</w:t>
            </w:r>
          </w:p>
          <w:p w14:paraId="502D501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6D232B5">
            <w:pPr>
              <w:pStyle w:val="4"/>
              <w:ind w:firstLine="360" w:firstLineChars="200"/>
              <w:rPr>
                <w:rFonts w:ascii="微软雅黑" w:hAnsi="微软雅黑" w:cs="MS Mincho"/>
                <w:b/>
                <w:szCs w:val="18"/>
              </w:rPr>
            </w:pPr>
            <w:r>
              <w:rPr>
                <w:rFonts w:hint="eastAsia"/>
                <w:b/>
                <w:lang w:bidi="ar"/>
              </w:rPr>
              <w:t>（</w:t>
            </w:r>
            <w:r>
              <w:rPr>
                <w:rFonts w:hint="eastAsia"/>
                <w:b/>
                <w:lang w:val="en-US" w:eastAsia="zh-CN" w:bidi="ar"/>
              </w:rPr>
              <w:t>四</w:t>
            </w:r>
            <w:r>
              <w:rPr>
                <w:rFonts w:hint="eastAsia"/>
                <w:b/>
                <w:lang w:bidi="ar"/>
              </w:rPr>
              <w:t>）纳税申报</w:t>
            </w:r>
          </w:p>
          <w:p w14:paraId="6997D7BD">
            <w:pPr>
              <w:pStyle w:val="4"/>
              <w:ind w:firstLine="360" w:firstLineChars="200"/>
              <w:rPr>
                <w:lang w:bidi="ar"/>
              </w:rPr>
            </w:pPr>
            <w:r>
              <w:rPr>
                <w:rFonts w:hint="eastAsia"/>
                <w:lang w:bidi="ar"/>
              </w:rPr>
              <w:t>车船税的纳税人应按照税法的有关规定及时办理纳税申报，并如实填写《车船税源明细表》（见表10-4）与《财产和行为税纳税申报表》（见表7-4）。</w:t>
            </w:r>
          </w:p>
          <w:p w14:paraId="2EFC8F61">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2128AC00">
            <w:pPr>
              <w:shd w:val="clear" w:color="auto" w:fill="FDF3ED"/>
              <w:ind w:firstLine="361" w:firstLineChars="200"/>
              <w:rPr>
                <w:rFonts w:hint="eastAsia"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7</w:t>
            </w:r>
            <w:r>
              <w:rPr>
                <w:rFonts w:ascii="微软雅黑" w:hAnsi="微软雅黑" w:eastAsia="微软雅黑" w:cs="MS Mincho"/>
                <w:b/>
                <w:sz w:val="18"/>
                <w:szCs w:val="18"/>
              </w:rPr>
              <w:t>-</w:t>
            </w:r>
            <w:r>
              <w:rPr>
                <w:rFonts w:hint="eastAsia" w:ascii="微软雅黑" w:hAnsi="微软雅黑" w:eastAsia="微软雅黑" w:cs="MS Mincho"/>
                <w:b/>
                <w:sz w:val="18"/>
                <w:szCs w:val="18"/>
                <w:lang w:val="en-US" w:eastAsia="zh-CN"/>
              </w:rPr>
              <w:t>3</w:t>
            </w:r>
            <w:r>
              <w:rPr>
                <w:rFonts w:ascii="微软雅黑" w:hAnsi="微软雅黑" w:eastAsia="微软雅黑" w:cs="MS Mincho"/>
                <w:b/>
                <w:sz w:val="18"/>
                <w:szCs w:val="18"/>
              </w:rPr>
              <w:t xml:space="preserve"> 填写说明”</w:t>
            </w:r>
            <w:r>
              <w:rPr>
                <w:rFonts w:hint="eastAsia" w:ascii="微软雅黑" w:hAnsi="微软雅黑" w:eastAsia="微软雅黑" w:cs="MS Mincho"/>
                <w:b/>
                <w:sz w:val="18"/>
                <w:szCs w:val="18"/>
              </w:rPr>
              <w:t>视频（详见教材），帮助学生了解“车船税税源明细表”的</w:t>
            </w:r>
            <w:r>
              <w:rPr>
                <w:rFonts w:ascii="微软雅黑" w:hAnsi="微软雅黑" w:eastAsia="微软雅黑" w:cs="MS Mincho"/>
                <w:b/>
                <w:sz w:val="18"/>
                <w:szCs w:val="18"/>
              </w:rPr>
              <w:t>填写方法</w:t>
            </w:r>
          </w:p>
          <w:p w14:paraId="11FF27A6">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0A5E280D">
            <w:pPr>
              <w:pStyle w:val="4"/>
              <w:ind w:firstLine="360" w:firstLineChars="200"/>
              <w:jc w:val="center"/>
              <w:rPr>
                <w:lang w:bidi="ar"/>
              </w:rPr>
            </w:pPr>
            <w:r>
              <w:rPr>
                <w:rFonts w:hint="eastAsia"/>
                <w:lang w:bidi="ar"/>
              </w:rPr>
              <w:t>表10-4  车船税税源明细表</w:t>
            </w:r>
          </w:p>
          <w:p w14:paraId="561A6758">
            <w:pPr>
              <w:pStyle w:val="4"/>
              <w:ind w:firstLine="360" w:firstLineChars="200"/>
              <w:rPr>
                <w:lang w:bidi="ar"/>
              </w:rPr>
            </w:pPr>
            <w:r>
              <w:rPr>
                <w:rFonts w:hint="eastAsia"/>
                <w:lang w:bidi="ar"/>
              </w:rPr>
              <w:t>纳税人识别号（统一社会信用代码）：□□□□□□□□□□□□□□□□□□</w:t>
            </w:r>
          </w:p>
          <w:p w14:paraId="362FA66E">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lang w:bidi="ar"/>
              </w:rPr>
              <w:t xml:space="preserve">    </w:t>
            </w:r>
            <w:r>
              <w:rPr>
                <w:rFonts w:hint="eastAsia"/>
                <w:lang w:bidi="ar"/>
              </w:rPr>
              <w:t xml:space="preserve"> 体积单位：升；质量单位：吨；功率单位：千瓦；长度单位：米</w:t>
            </w:r>
          </w:p>
          <w:tbl>
            <w:tblPr>
              <w:tblStyle w:val="2"/>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365"/>
              <w:gridCol w:w="595"/>
              <w:gridCol w:w="531"/>
              <w:gridCol w:w="533"/>
              <w:gridCol w:w="534"/>
              <w:gridCol w:w="534"/>
              <w:gridCol w:w="409"/>
              <w:gridCol w:w="98"/>
              <w:gridCol w:w="551"/>
              <w:gridCol w:w="501"/>
              <w:gridCol w:w="190"/>
              <w:gridCol w:w="371"/>
              <w:gridCol w:w="299"/>
              <w:gridCol w:w="186"/>
              <w:gridCol w:w="469"/>
              <w:gridCol w:w="180"/>
              <w:gridCol w:w="487"/>
              <w:gridCol w:w="124"/>
              <w:gridCol w:w="491"/>
              <w:gridCol w:w="357"/>
            </w:tblGrid>
            <w:tr w14:paraId="6C72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8226" w:type="dxa"/>
                  <w:gridSpan w:val="21"/>
                  <w:shd w:val="clear" w:color="auto" w:fill="DAE3F4" w:themeFill="accent1" w:themeFillTint="33"/>
                  <w:vAlign w:val="center"/>
                </w:tcPr>
                <w:p w14:paraId="5CB26707">
                  <w:pPr>
                    <w:pStyle w:val="4"/>
                    <w:jc w:val="center"/>
                    <w:rPr>
                      <w:rFonts w:ascii="宋体" w:hAnsi="宋体"/>
                      <w:sz w:val="15"/>
                      <w:szCs w:val="15"/>
                    </w:rPr>
                  </w:pPr>
                  <w:r>
                    <w:rPr>
                      <w:rFonts w:ascii="宋体" w:hAnsi="宋体"/>
                      <w:sz w:val="15"/>
                      <w:szCs w:val="15"/>
                    </w:rPr>
                    <w:t>车辆税源明细</w:t>
                  </w:r>
                </w:p>
              </w:tc>
            </w:tr>
            <w:tr w14:paraId="7B16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0C506EDF">
                  <w:pPr>
                    <w:pStyle w:val="4"/>
                    <w:jc w:val="center"/>
                    <w:rPr>
                      <w:sz w:val="15"/>
                      <w:szCs w:val="15"/>
                    </w:rPr>
                  </w:pPr>
                  <w:r>
                    <w:rPr>
                      <w:sz w:val="15"/>
                      <w:szCs w:val="15"/>
                    </w:rPr>
                    <w:t>序号</w:t>
                  </w:r>
                </w:p>
              </w:tc>
              <w:tc>
                <w:tcPr>
                  <w:tcW w:w="365" w:type="dxa"/>
                  <w:shd w:val="clear" w:color="auto" w:fill="auto"/>
                  <w:vAlign w:val="center"/>
                </w:tcPr>
                <w:p w14:paraId="2C887EF8">
                  <w:pPr>
                    <w:pStyle w:val="4"/>
                    <w:jc w:val="center"/>
                    <w:rPr>
                      <w:sz w:val="15"/>
                      <w:szCs w:val="15"/>
                    </w:rPr>
                  </w:pPr>
                  <w:r>
                    <w:rPr>
                      <w:sz w:val="15"/>
                      <w:szCs w:val="15"/>
                    </w:rPr>
                    <w:t>车牌</w:t>
                  </w:r>
                  <w:r>
                    <w:rPr>
                      <w:sz w:val="15"/>
                      <w:szCs w:val="15"/>
                    </w:rPr>
                    <w:br w:type="textWrapping"/>
                  </w:r>
                  <w:r>
                    <w:rPr>
                      <w:sz w:val="15"/>
                      <w:szCs w:val="15"/>
                    </w:rPr>
                    <w:t>号码</w:t>
                  </w:r>
                </w:p>
              </w:tc>
              <w:tc>
                <w:tcPr>
                  <w:tcW w:w="595" w:type="dxa"/>
                  <w:shd w:val="clear" w:color="auto" w:fill="auto"/>
                  <w:vAlign w:val="center"/>
                </w:tcPr>
                <w:p w14:paraId="5F249CFC">
                  <w:pPr>
                    <w:pStyle w:val="4"/>
                    <w:jc w:val="center"/>
                    <w:rPr>
                      <w:sz w:val="15"/>
                      <w:szCs w:val="15"/>
                    </w:rPr>
                  </w:pPr>
                  <w:r>
                    <w:rPr>
                      <w:rFonts w:hint="eastAsia"/>
                      <w:sz w:val="15"/>
                      <w:szCs w:val="15"/>
                    </w:rPr>
                    <w:t>*车辆识别代码（车架号）</w:t>
                  </w:r>
                </w:p>
              </w:tc>
              <w:tc>
                <w:tcPr>
                  <w:tcW w:w="531" w:type="dxa"/>
                  <w:shd w:val="clear" w:color="auto" w:fill="auto"/>
                  <w:vAlign w:val="center"/>
                </w:tcPr>
                <w:p w14:paraId="151917C8">
                  <w:pPr>
                    <w:pStyle w:val="4"/>
                    <w:jc w:val="center"/>
                    <w:rPr>
                      <w:sz w:val="15"/>
                      <w:szCs w:val="15"/>
                    </w:rPr>
                  </w:pPr>
                  <w:r>
                    <w:rPr>
                      <w:rFonts w:hint="eastAsia"/>
                      <w:sz w:val="15"/>
                      <w:szCs w:val="15"/>
                    </w:rPr>
                    <w:t>*车辆类型</w:t>
                  </w:r>
                </w:p>
              </w:tc>
              <w:tc>
                <w:tcPr>
                  <w:tcW w:w="533" w:type="dxa"/>
                  <w:shd w:val="clear" w:color="auto" w:fill="auto"/>
                  <w:vAlign w:val="center"/>
                </w:tcPr>
                <w:p w14:paraId="118CCF6B">
                  <w:pPr>
                    <w:pStyle w:val="4"/>
                    <w:jc w:val="center"/>
                    <w:rPr>
                      <w:sz w:val="15"/>
                      <w:szCs w:val="15"/>
                    </w:rPr>
                  </w:pPr>
                  <w:r>
                    <w:rPr>
                      <w:rFonts w:hint="eastAsia"/>
                      <w:sz w:val="15"/>
                      <w:szCs w:val="15"/>
                    </w:rPr>
                    <w:t>车辆</w:t>
                  </w:r>
                  <w:r>
                    <w:rPr>
                      <w:sz w:val="15"/>
                      <w:szCs w:val="15"/>
                    </w:rPr>
                    <w:br w:type="textWrapping"/>
                  </w:r>
                  <w:r>
                    <w:rPr>
                      <w:rFonts w:hint="eastAsia"/>
                      <w:sz w:val="15"/>
                      <w:szCs w:val="15"/>
                    </w:rPr>
                    <w:t>品牌</w:t>
                  </w:r>
                </w:p>
              </w:tc>
              <w:tc>
                <w:tcPr>
                  <w:tcW w:w="534" w:type="dxa"/>
                  <w:shd w:val="clear" w:color="auto" w:fill="auto"/>
                  <w:vAlign w:val="center"/>
                </w:tcPr>
                <w:p w14:paraId="28190F27">
                  <w:pPr>
                    <w:pStyle w:val="4"/>
                    <w:jc w:val="center"/>
                    <w:rPr>
                      <w:sz w:val="15"/>
                      <w:szCs w:val="15"/>
                    </w:rPr>
                  </w:pPr>
                  <w:r>
                    <w:rPr>
                      <w:sz w:val="15"/>
                      <w:szCs w:val="15"/>
                    </w:rPr>
                    <w:t>车辆</w:t>
                  </w:r>
                  <w:r>
                    <w:rPr>
                      <w:sz w:val="15"/>
                      <w:szCs w:val="15"/>
                    </w:rPr>
                    <w:br w:type="textWrapping"/>
                  </w:r>
                  <w:r>
                    <w:rPr>
                      <w:sz w:val="15"/>
                      <w:szCs w:val="15"/>
                    </w:rPr>
                    <w:t>型号</w:t>
                  </w:r>
                </w:p>
              </w:tc>
              <w:tc>
                <w:tcPr>
                  <w:tcW w:w="943" w:type="dxa"/>
                  <w:gridSpan w:val="2"/>
                  <w:shd w:val="clear" w:color="auto" w:fill="auto"/>
                  <w:vAlign w:val="center"/>
                </w:tcPr>
                <w:p w14:paraId="43FFB944">
                  <w:pPr>
                    <w:pStyle w:val="4"/>
                    <w:jc w:val="center"/>
                    <w:rPr>
                      <w:sz w:val="15"/>
                      <w:szCs w:val="15"/>
                    </w:rPr>
                  </w:pPr>
                  <w:r>
                    <w:rPr>
                      <w:rFonts w:hint="eastAsia"/>
                      <w:sz w:val="15"/>
                      <w:szCs w:val="15"/>
                    </w:rPr>
                    <w:t>*车辆发票日期或注册</w:t>
                  </w:r>
                  <w:r>
                    <w:rPr>
                      <w:sz w:val="15"/>
                      <w:szCs w:val="15"/>
                    </w:rPr>
                    <w:br w:type="textWrapping"/>
                  </w:r>
                  <w:r>
                    <w:rPr>
                      <w:rFonts w:hint="eastAsia"/>
                      <w:sz w:val="15"/>
                      <w:szCs w:val="15"/>
                    </w:rPr>
                    <w:t>登记日期</w:t>
                  </w:r>
                </w:p>
              </w:tc>
              <w:tc>
                <w:tcPr>
                  <w:tcW w:w="649" w:type="dxa"/>
                  <w:gridSpan w:val="2"/>
                  <w:shd w:val="clear" w:color="auto" w:fill="auto"/>
                  <w:vAlign w:val="center"/>
                </w:tcPr>
                <w:p w14:paraId="6EBC37E9">
                  <w:pPr>
                    <w:pStyle w:val="4"/>
                    <w:jc w:val="center"/>
                    <w:rPr>
                      <w:sz w:val="15"/>
                      <w:szCs w:val="15"/>
                    </w:rPr>
                  </w:pPr>
                  <w:r>
                    <w:rPr>
                      <w:sz w:val="15"/>
                      <w:szCs w:val="15"/>
                    </w:rPr>
                    <w:t>排（气）量</w:t>
                  </w:r>
                </w:p>
              </w:tc>
              <w:tc>
                <w:tcPr>
                  <w:tcW w:w="691" w:type="dxa"/>
                  <w:gridSpan w:val="2"/>
                  <w:shd w:val="clear" w:color="auto" w:fill="auto"/>
                  <w:vAlign w:val="center"/>
                </w:tcPr>
                <w:p w14:paraId="426935FA">
                  <w:pPr>
                    <w:pStyle w:val="4"/>
                    <w:jc w:val="center"/>
                    <w:rPr>
                      <w:sz w:val="15"/>
                      <w:szCs w:val="15"/>
                    </w:rPr>
                  </w:pPr>
                  <w:r>
                    <w:rPr>
                      <w:sz w:val="15"/>
                      <w:szCs w:val="15"/>
                    </w:rPr>
                    <w:t>核定</w:t>
                  </w:r>
                  <w:r>
                    <w:rPr>
                      <w:sz w:val="15"/>
                      <w:szCs w:val="15"/>
                    </w:rPr>
                    <w:br w:type="textWrapping"/>
                  </w:r>
                  <w:r>
                    <w:rPr>
                      <w:sz w:val="15"/>
                      <w:szCs w:val="15"/>
                    </w:rPr>
                    <w:t>载客</w:t>
                  </w:r>
                </w:p>
              </w:tc>
              <w:tc>
                <w:tcPr>
                  <w:tcW w:w="670" w:type="dxa"/>
                  <w:gridSpan w:val="2"/>
                  <w:shd w:val="clear" w:color="auto" w:fill="auto"/>
                  <w:vAlign w:val="center"/>
                </w:tcPr>
                <w:p w14:paraId="1A4D6F24">
                  <w:pPr>
                    <w:pStyle w:val="4"/>
                    <w:jc w:val="center"/>
                    <w:rPr>
                      <w:sz w:val="15"/>
                      <w:szCs w:val="15"/>
                    </w:rPr>
                  </w:pPr>
                  <w:r>
                    <w:rPr>
                      <w:sz w:val="15"/>
                      <w:szCs w:val="15"/>
                    </w:rPr>
                    <w:t>整备</w:t>
                  </w:r>
                  <w:r>
                    <w:rPr>
                      <w:sz w:val="15"/>
                      <w:szCs w:val="15"/>
                    </w:rPr>
                    <w:br w:type="textWrapping"/>
                  </w:r>
                  <w:r>
                    <w:rPr>
                      <w:sz w:val="15"/>
                      <w:szCs w:val="15"/>
                    </w:rPr>
                    <w:t>质量</w:t>
                  </w:r>
                </w:p>
              </w:tc>
              <w:tc>
                <w:tcPr>
                  <w:tcW w:w="655" w:type="dxa"/>
                  <w:gridSpan w:val="2"/>
                  <w:shd w:val="clear" w:color="auto" w:fill="auto"/>
                  <w:vAlign w:val="center"/>
                </w:tcPr>
                <w:p w14:paraId="5B54326F">
                  <w:pPr>
                    <w:pStyle w:val="4"/>
                    <w:jc w:val="center"/>
                    <w:rPr>
                      <w:sz w:val="15"/>
                      <w:szCs w:val="15"/>
                    </w:rPr>
                  </w:pPr>
                  <w:r>
                    <w:rPr>
                      <w:rFonts w:hint="eastAsia"/>
                      <w:sz w:val="15"/>
                      <w:szCs w:val="15"/>
                    </w:rPr>
                    <w:t>*单位</w:t>
                  </w:r>
                  <w:r>
                    <w:rPr>
                      <w:sz w:val="15"/>
                      <w:szCs w:val="15"/>
                    </w:rPr>
                    <w:br w:type="textWrapping"/>
                  </w:r>
                  <w:r>
                    <w:rPr>
                      <w:rFonts w:hint="eastAsia"/>
                      <w:sz w:val="15"/>
                      <w:szCs w:val="15"/>
                    </w:rPr>
                    <w:t>税额</w:t>
                  </w:r>
                </w:p>
              </w:tc>
              <w:tc>
                <w:tcPr>
                  <w:tcW w:w="791" w:type="dxa"/>
                  <w:gridSpan w:val="3"/>
                  <w:shd w:val="clear" w:color="auto" w:fill="auto"/>
                  <w:vAlign w:val="center"/>
                </w:tcPr>
                <w:p w14:paraId="2080AF93">
                  <w:pPr>
                    <w:pStyle w:val="4"/>
                    <w:jc w:val="center"/>
                    <w:rPr>
                      <w:sz w:val="15"/>
                      <w:szCs w:val="15"/>
                    </w:rPr>
                  </w:pPr>
                  <w:r>
                    <w:rPr>
                      <w:sz w:val="15"/>
                      <w:szCs w:val="15"/>
                    </w:rPr>
                    <w:t>减免性质代码和项目名称</w:t>
                  </w:r>
                </w:p>
              </w:tc>
              <w:tc>
                <w:tcPr>
                  <w:tcW w:w="848" w:type="dxa"/>
                  <w:gridSpan w:val="2"/>
                  <w:shd w:val="clear" w:color="auto" w:fill="auto"/>
                  <w:vAlign w:val="center"/>
                </w:tcPr>
                <w:p w14:paraId="299DBD85">
                  <w:pPr>
                    <w:pStyle w:val="4"/>
                    <w:jc w:val="center"/>
                    <w:rPr>
                      <w:sz w:val="15"/>
                      <w:szCs w:val="15"/>
                    </w:rPr>
                  </w:pPr>
                  <w:r>
                    <w:rPr>
                      <w:sz w:val="15"/>
                      <w:szCs w:val="15"/>
                    </w:rPr>
                    <w:t>纳税义务</w:t>
                  </w:r>
                  <w:r>
                    <w:rPr>
                      <w:sz w:val="15"/>
                      <w:szCs w:val="15"/>
                    </w:rPr>
                    <w:br w:type="textWrapping"/>
                  </w:r>
                  <w:r>
                    <w:rPr>
                      <w:sz w:val="15"/>
                      <w:szCs w:val="15"/>
                    </w:rPr>
                    <w:t>终止时间</w:t>
                  </w:r>
                </w:p>
              </w:tc>
            </w:tr>
            <w:tr w14:paraId="12DC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4F25DBA4">
                  <w:pPr>
                    <w:pStyle w:val="4"/>
                    <w:jc w:val="center"/>
                    <w:rPr>
                      <w:sz w:val="15"/>
                      <w:szCs w:val="15"/>
                    </w:rPr>
                  </w:pPr>
                  <w:r>
                    <w:rPr>
                      <w:rFonts w:hint="eastAsia"/>
                      <w:sz w:val="15"/>
                      <w:szCs w:val="15"/>
                    </w:rPr>
                    <w:t>1</w:t>
                  </w:r>
                </w:p>
              </w:tc>
              <w:tc>
                <w:tcPr>
                  <w:tcW w:w="365" w:type="dxa"/>
                  <w:shd w:val="clear" w:color="auto" w:fill="auto"/>
                  <w:vAlign w:val="center"/>
                </w:tcPr>
                <w:p w14:paraId="6A3F03B8">
                  <w:pPr>
                    <w:pStyle w:val="4"/>
                    <w:jc w:val="center"/>
                    <w:rPr>
                      <w:sz w:val="15"/>
                      <w:szCs w:val="15"/>
                    </w:rPr>
                  </w:pPr>
                </w:p>
              </w:tc>
              <w:tc>
                <w:tcPr>
                  <w:tcW w:w="595" w:type="dxa"/>
                  <w:shd w:val="clear" w:color="auto" w:fill="auto"/>
                  <w:vAlign w:val="center"/>
                </w:tcPr>
                <w:p w14:paraId="79833BC0">
                  <w:pPr>
                    <w:pStyle w:val="4"/>
                    <w:jc w:val="center"/>
                    <w:rPr>
                      <w:sz w:val="15"/>
                      <w:szCs w:val="15"/>
                    </w:rPr>
                  </w:pPr>
                </w:p>
              </w:tc>
              <w:tc>
                <w:tcPr>
                  <w:tcW w:w="531" w:type="dxa"/>
                  <w:shd w:val="clear" w:color="auto" w:fill="auto"/>
                  <w:vAlign w:val="center"/>
                </w:tcPr>
                <w:p w14:paraId="34F2B6DD">
                  <w:pPr>
                    <w:pStyle w:val="4"/>
                    <w:jc w:val="center"/>
                    <w:rPr>
                      <w:sz w:val="15"/>
                      <w:szCs w:val="15"/>
                    </w:rPr>
                  </w:pPr>
                </w:p>
              </w:tc>
              <w:tc>
                <w:tcPr>
                  <w:tcW w:w="533" w:type="dxa"/>
                  <w:shd w:val="clear" w:color="auto" w:fill="auto"/>
                  <w:vAlign w:val="center"/>
                </w:tcPr>
                <w:p w14:paraId="36040D41">
                  <w:pPr>
                    <w:pStyle w:val="4"/>
                    <w:jc w:val="center"/>
                    <w:rPr>
                      <w:sz w:val="15"/>
                      <w:szCs w:val="15"/>
                    </w:rPr>
                  </w:pPr>
                </w:p>
              </w:tc>
              <w:tc>
                <w:tcPr>
                  <w:tcW w:w="534" w:type="dxa"/>
                  <w:shd w:val="clear" w:color="auto" w:fill="auto"/>
                  <w:vAlign w:val="center"/>
                </w:tcPr>
                <w:p w14:paraId="278A19FC">
                  <w:pPr>
                    <w:pStyle w:val="4"/>
                    <w:jc w:val="center"/>
                    <w:rPr>
                      <w:sz w:val="15"/>
                      <w:szCs w:val="15"/>
                    </w:rPr>
                  </w:pPr>
                </w:p>
              </w:tc>
              <w:tc>
                <w:tcPr>
                  <w:tcW w:w="943" w:type="dxa"/>
                  <w:gridSpan w:val="2"/>
                  <w:shd w:val="clear" w:color="auto" w:fill="auto"/>
                  <w:vAlign w:val="center"/>
                </w:tcPr>
                <w:p w14:paraId="1B6866E3">
                  <w:pPr>
                    <w:pStyle w:val="4"/>
                    <w:jc w:val="center"/>
                    <w:rPr>
                      <w:sz w:val="15"/>
                      <w:szCs w:val="15"/>
                    </w:rPr>
                  </w:pPr>
                </w:p>
              </w:tc>
              <w:tc>
                <w:tcPr>
                  <w:tcW w:w="649" w:type="dxa"/>
                  <w:gridSpan w:val="2"/>
                  <w:shd w:val="clear" w:color="auto" w:fill="auto"/>
                  <w:vAlign w:val="center"/>
                </w:tcPr>
                <w:p w14:paraId="4AF561F6">
                  <w:pPr>
                    <w:pStyle w:val="4"/>
                    <w:jc w:val="center"/>
                    <w:rPr>
                      <w:sz w:val="15"/>
                      <w:szCs w:val="15"/>
                    </w:rPr>
                  </w:pPr>
                </w:p>
              </w:tc>
              <w:tc>
                <w:tcPr>
                  <w:tcW w:w="691" w:type="dxa"/>
                  <w:gridSpan w:val="2"/>
                  <w:shd w:val="clear" w:color="auto" w:fill="auto"/>
                  <w:vAlign w:val="center"/>
                </w:tcPr>
                <w:p w14:paraId="4566B4CE">
                  <w:pPr>
                    <w:pStyle w:val="4"/>
                    <w:jc w:val="center"/>
                    <w:rPr>
                      <w:sz w:val="15"/>
                      <w:szCs w:val="15"/>
                    </w:rPr>
                  </w:pPr>
                </w:p>
              </w:tc>
              <w:tc>
                <w:tcPr>
                  <w:tcW w:w="670" w:type="dxa"/>
                  <w:gridSpan w:val="2"/>
                  <w:shd w:val="clear" w:color="auto" w:fill="auto"/>
                  <w:vAlign w:val="center"/>
                </w:tcPr>
                <w:p w14:paraId="76E77A1D">
                  <w:pPr>
                    <w:pStyle w:val="4"/>
                    <w:jc w:val="center"/>
                    <w:rPr>
                      <w:sz w:val="15"/>
                      <w:szCs w:val="15"/>
                    </w:rPr>
                  </w:pPr>
                </w:p>
              </w:tc>
              <w:tc>
                <w:tcPr>
                  <w:tcW w:w="655" w:type="dxa"/>
                  <w:gridSpan w:val="2"/>
                  <w:shd w:val="clear" w:color="auto" w:fill="auto"/>
                  <w:vAlign w:val="center"/>
                </w:tcPr>
                <w:p w14:paraId="252ABD1A">
                  <w:pPr>
                    <w:pStyle w:val="4"/>
                    <w:jc w:val="center"/>
                    <w:rPr>
                      <w:sz w:val="15"/>
                      <w:szCs w:val="15"/>
                    </w:rPr>
                  </w:pPr>
                </w:p>
              </w:tc>
              <w:tc>
                <w:tcPr>
                  <w:tcW w:w="791" w:type="dxa"/>
                  <w:gridSpan w:val="3"/>
                  <w:shd w:val="clear" w:color="auto" w:fill="auto"/>
                  <w:vAlign w:val="center"/>
                </w:tcPr>
                <w:p w14:paraId="6EA90DF0">
                  <w:pPr>
                    <w:pStyle w:val="4"/>
                    <w:jc w:val="center"/>
                    <w:rPr>
                      <w:sz w:val="15"/>
                      <w:szCs w:val="15"/>
                    </w:rPr>
                  </w:pPr>
                </w:p>
              </w:tc>
              <w:tc>
                <w:tcPr>
                  <w:tcW w:w="848" w:type="dxa"/>
                  <w:gridSpan w:val="2"/>
                  <w:shd w:val="clear" w:color="auto" w:fill="auto"/>
                  <w:vAlign w:val="center"/>
                </w:tcPr>
                <w:p w14:paraId="6780E787">
                  <w:pPr>
                    <w:pStyle w:val="4"/>
                    <w:jc w:val="center"/>
                    <w:rPr>
                      <w:sz w:val="15"/>
                      <w:szCs w:val="15"/>
                    </w:rPr>
                  </w:pPr>
                </w:p>
              </w:tc>
            </w:tr>
            <w:tr w14:paraId="68F8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324DEC44">
                  <w:pPr>
                    <w:pStyle w:val="4"/>
                    <w:jc w:val="center"/>
                    <w:rPr>
                      <w:sz w:val="15"/>
                      <w:szCs w:val="15"/>
                    </w:rPr>
                  </w:pPr>
                  <w:r>
                    <w:rPr>
                      <w:rFonts w:hint="eastAsia"/>
                      <w:sz w:val="15"/>
                      <w:szCs w:val="15"/>
                    </w:rPr>
                    <w:t>2</w:t>
                  </w:r>
                </w:p>
              </w:tc>
              <w:tc>
                <w:tcPr>
                  <w:tcW w:w="365" w:type="dxa"/>
                  <w:shd w:val="clear" w:color="auto" w:fill="auto"/>
                  <w:vAlign w:val="center"/>
                </w:tcPr>
                <w:p w14:paraId="5A7640DA">
                  <w:pPr>
                    <w:pStyle w:val="4"/>
                    <w:jc w:val="center"/>
                    <w:rPr>
                      <w:sz w:val="15"/>
                      <w:szCs w:val="15"/>
                    </w:rPr>
                  </w:pPr>
                </w:p>
              </w:tc>
              <w:tc>
                <w:tcPr>
                  <w:tcW w:w="595" w:type="dxa"/>
                  <w:shd w:val="clear" w:color="auto" w:fill="auto"/>
                  <w:vAlign w:val="center"/>
                </w:tcPr>
                <w:p w14:paraId="7BAB2176">
                  <w:pPr>
                    <w:pStyle w:val="4"/>
                    <w:jc w:val="center"/>
                    <w:rPr>
                      <w:sz w:val="15"/>
                      <w:szCs w:val="15"/>
                    </w:rPr>
                  </w:pPr>
                </w:p>
              </w:tc>
              <w:tc>
                <w:tcPr>
                  <w:tcW w:w="531" w:type="dxa"/>
                  <w:shd w:val="clear" w:color="auto" w:fill="auto"/>
                  <w:vAlign w:val="center"/>
                </w:tcPr>
                <w:p w14:paraId="6BC44B02">
                  <w:pPr>
                    <w:pStyle w:val="4"/>
                    <w:jc w:val="center"/>
                    <w:rPr>
                      <w:sz w:val="15"/>
                      <w:szCs w:val="15"/>
                    </w:rPr>
                  </w:pPr>
                </w:p>
              </w:tc>
              <w:tc>
                <w:tcPr>
                  <w:tcW w:w="533" w:type="dxa"/>
                  <w:shd w:val="clear" w:color="auto" w:fill="auto"/>
                  <w:vAlign w:val="center"/>
                </w:tcPr>
                <w:p w14:paraId="1FF92048">
                  <w:pPr>
                    <w:pStyle w:val="4"/>
                    <w:jc w:val="center"/>
                    <w:rPr>
                      <w:sz w:val="15"/>
                      <w:szCs w:val="15"/>
                    </w:rPr>
                  </w:pPr>
                </w:p>
              </w:tc>
              <w:tc>
                <w:tcPr>
                  <w:tcW w:w="534" w:type="dxa"/>
                  <w:shd w:val="clear" w:color="auto" w:fill="auto"/>
                  <w:vAlign w:val="center"/>
                </w:tcPr>
                <w:p w14:paraId="77A3F0D4">
                  <w:pPr>
                    <w:pStyle w:val="4"/>
                    <w:jc w:val="center"/>
                    <w:rPr>
                      <w:sz w:val="15"/>
                      <w:szCs w:val="15"/>
                    </w:rPr>
                  </w:pPr>
                </w:p>
              </w:tc>
              <w:tc>
                <w:tcPr>
                  <w:tcW w:w="943" w:type="dxa"/>
                  <w:gridSpan w:val="2"/>
                  <w:shd w:val="clear" w:color="auto" w:fill="auto"/>
                  <w:vAlign w:val="center"/>
                </w:tcPr>
                <w:p w14:paraId="3F7EAEED">
                  <w:pPr>
                    <w:pStyle w:val="4"/>
                    <w:jc w:val="center"/>
                    <w:rPr>
                      <w:sz w:val="15"/>
                      <w:szCs w:val="15"/>
                    </w:rPr>
                  </w:pPr>
                </w:p>
              </w:tc>
              <w:tc>
                <w:tcPr>
                  <w:tcW w:w="649" w:type="dxa"/>
                  <w:gridSpan w:val="2"/>
                  <w:shd w:val="clear" w:color="auto" w:fill="auto"/>
                  <w:vAlign w:val="center"/>
                </w:tcPr>
                <w:p w14:paraId="12979584">
                  <w:pPr>
                    <w:pStyle w:val="4"/>
                    <w:jc w:val="center"/>
                    <w:rPr>
                      <w:sz w:val="15"/>
                      <w:szCs w:val="15"/>
                    </w:rPr>
                  </w:pPr>
                </w:p>
              </w:tc>
              <w:tc>
                <w:tcPr>
                  <w:tcW w:w="691" w:type="dxa"/>
                  <w:gridSpan w:val="2"/>
                  <w:shd w:val="clear" w:color="auto" w:fill="auto"/>
                  <w:vAlign w:val="center"/>
                </w:tcPr>
                <w:p w14:paraId="53667859">
                  <w:pPr>
                    <w:pStyle w:val="4"/>
                    <w:jc w:val="center"/>
                    <w:rPr>
                      <w:sz w:val="15"/>
                      <w:szCs w:val="15"/>
                    </w:rPr>
                  </w:pPr>
                </w:p>
              </w:tc>
              <w:tc>
                <w:tcPr>
                  <w:tcW w:w="670" w:type="dxa"/>
                  <w:gridSpan w:val="2"/>
                  <w:shd w:val="clear" w:color="auto" w:fill="auto"/>
                  <w:vAlign w:val="center"/>
                </w:tcPr>
                <w:p w14:paraId="6389159C">
                  <w:pPr>
                    <w:pStyle w:val="4"/>
                    <w:jc w:val="center"/>
                    <w:rPr>
                      <w:sz w:val="15"/>
                      <w:szCs w:val="15"/>
                    </w:rPr>
                  </w:pPr>
                </w:p>
              </w:tc>
              <w:tc>
                <w:tcPr>
                  <w:tcW w:w="655" w:type="dxa"/>
                  <w:gridSpan w:val="2"/>
                  <w:shd w:val="clear" w:color="auto" w:fill="auto"/>
                  <w:vAlign w:val="center"/>
                </w:tcPr>
                <w:p w14:paraId="04F4F951">
                  <w:pPr>
                    <w:pStyle w:val="4"/>
                    <w:jc w:val="center"/>
                    <w:rPr>
                      <w:sz w:val="15"/>
                      <w:szCs w:val="15"/>
                    </w:rPr>
                  </w:pPr>
                </w:p>
              </w:tc>
              <w:tc>
                <w:tcPr>
                  <w:tcW w:w="791" w:type="dxa"/>
                  <w:gridSpan w:val="3"/>
                  <w:shd w:val="clear" w:color="auto" w:fill="auto"/>
                  <w:vAlign w:val="center"/>
                </w:tcPr>
                <w:p w14:paraId="792EBCC0">
                  <w:pPr>
                    <w:pStyle w:val="4"/>
                    <w:jc w:val="center"/>
                    <w:rPr>
                      <w:sz w:val="15"/>
                      <w:szCs w:val="15"/>
                    </w:rPr>
                  </w:pPr>
                </w:p>
              </w:tc>
              <w:tc>
                <w:tcPr>
                  <w:tcW w:w="848" w:type="dxa"/>
                  <w:gridSpan w:val="2"/>
                  <w:shd w:val="clear" w:color="auto" w:fill="auto"/>
                  <w:vAlign w:val="center"/>
                </w:tcPr>
                <w:p w14:paraId="1A521EE1">
                  <w:pPr>
                    <w:pStyle w:val="4"/>
                    <w:jc w:val="center"/>
                    <w:rPr>
                      <w:sz w:val="15"/>
                      <w:szCs w:val="15"/>
                    </w:rPr>
                  </w:pPr>
                </w:p>
              </w:tc>
            </w:tr>
            <w:tr w14:paraId="7F5A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759547FB">
                  <w:pPr>
                    <w:pStyle w:val="4"/>
                    <w:jc w:val="center"/>
                    <w:rPr>
                      <w:sz w:val="15"/>
                      <w:szCs w:val="15"/>
                    </w:rPr>
                  </w:pPr>
                  <w:r>
                    <w:rPr>
                      <w:rFonts w:hint="eastAsia"/>
                      <w:sz w:val="15"/>
                      <w:szCs w:val="15"/>
                    </w:rPr>
                    <w:t>3</w:t>
                  </w:r>
                </w:p>
              </w:tc>
              <w:tc>
                <w:tcPr>
                  <w:tcW w:w="365" w:type="dxa"/>
                  <w:shd w:val="clear" w:color="auto" w:fill="auto"/>
                  <w:vAlign w:val="center"/>
                </w:tcPr>
                <w:p w14:paraId="2FC9A7CA">
                  <w:pPr>
                    <w:pStyle w:val="4"/>
                    <w:jc w:val="center"/>
                    <w:rPr>
                      <w:sz w:val="15"/>
                      <w:szCs w:val="15"/>
                    </w:rPr>
                  </w:pPr>
                </w:p>
              </w:tc>
              <w:tc>
                <w:tcPr>
                  <w:tcW w:w="595" w:type="dxa"/>
                  <w:shd w:val="clear" w:color="auto" w:fill="auto"/>
                  <w:vAlign w:val="center"/>
                </w:tcPr>
                <w:p w14:paraId="1DCE56C0">
                  <w:pPr>
                    <w:pStyle w:val="4"/>
                    <w:jc w:val="center"/>
                    <w:rPr>
                      <w:sz w:val="15"/>
                      <w:szCs w:val="15"/>
                    </w:rPr>
                  </w:pPr>
                </w:p>
              </w:tc>
              <w:tc>
                <w:tcPr>
                  <w:tcW w:w="531" w:type="dxa"/>
                  <w:shd w:val="clear" w:color="auto" w:fill="auto"/>
                  <w:vAlign w:val="center"/>
                </w:tcPr>
                <w:p w14:paraId="19793BA6">
                  <w:pPr>
                    <w:pStyle w:val="4"/>
                    <w:jc w:val="center"/>
                    <w:rPr>
                      <w:sz w:val="15"/>
                      <w:szCs w:val="15"/>
                    </w:rPr>
                  </w:pPr>
                </w:p>
              </w:tc>
              <w:tc>
                <w:tcPr>
                  <w:tcW w:w="533" w:type="dxa"/>
                  <w:shd w:val="clear" w:color="auto" w:fill="auto"/>
                  <w:vAlign w:val="center"/>
                </w:tcPr>
                <w:p w14:paraId="607ADE1B">
                  <w:pPr>
                    <w:pStyle w:val="4"/>
                    <w:jc w:val="center"/>
                    <w:rPr>
                      <w:sz w:val="15"/>
                      <w:szCs w:val="15"/>
                    </w:rPr>
                  </w:pPr>
                </w:p>
              </w:tc>
              <w:tc>
                <w:tcPr>
                  <w:tcW w:w="534" w:type="dxa"/>
                  <w:shd w:val="clear" w:color="auto" w:fill="auto"/>
                  <w:vAlign w:val="center"/>
                </w:tcPr>
                <w:p w14:paraId="619D365C">
                  <w:pPr>
                    <w:pStyle w:val="4"/>
                    <w:jc w:val="center"/>
                    <w:rPr>
                      <w:sz w:val="15"/>
                      <w:szCs w:val="15"/>
                    </w:rPr>
                  </w:pPr>
                </w:p>
              </w:tc>
              <w:tc>
                <w:tcPr>
                  <w:tcW w:w="943" w:type="dxa"/>
                  <w:gridSpan w:val="2"/>
                  <w:shd w:val="clear" w:color="auto" w:fill="auto"/>
                  <w:vAlign w:val="center"/>
                </w:tcPr>
                <w:p w14:paraId="7882251A">
                  <w:pPr>
                    <w:pStyle w:val="4"/>
                    <w:jc w:val="center"/>
                    <w:rPr>
                      <w:sz w:val="15"/>
                      <w:szCs w:val="15"/>
                    </w:rPr>
                  </w:pPr>
                </w:p>
              </w:tc>
              <w:tc>
                <w:tcPr>
                  <w:tcW w:w="649" w:type="dxa"/>
                  <w:gridSpan w:val="2"/>
                  <w:shd w:val="clear" w:color="auto" w:fill="auto"/>
                  <w:vAlign w:val="center"/>
                </w:tcPr>
                <w:p w14:paraId="6B6AB3DF">
                  <w:pPr>
                    <w:pStyle w:val="4"/>
                    <w:jc w:val="center"/>
                    <w:rPr>
                      <w:sz w:val="15"/>
                      <w:szCs w:val="15"/>
                    </w:rPr>
                  </w:pPr>
                </w:p>
              </w:tc>
              <w:tc>
                <w:tcPr>
                  <w:tcW w:w="691" w:type="dxa"/>
                  <w:gridSpan w:val="2"/>
                  <w:shd w:val="clear" w:color="auto" w:fill="auto"/>
                  <w:vAlign w:val="center"/>
                </w:tcPr>
                <w:p w14:paraId="1BFF4DC6">
                  <w:pPr>
                    <w:pStyle w:val="4"/>
                    <w:jc w:val="center"/>
                    <w:rPr>
                      <w:sz w:val="15"/>
                      <w:szCs w:val="15"/>
                    </w:rPr>
                  </w:pPr>
                </w:p>
              </w:tc>
              <w:tc>
                <w:tcPr>
                  <w:tcW w:w="670" w:type="dxa"/>
                  <w:gridSpan w:val="2"/>
                  <w:shd w:val="clear" w:color="auto" w:fill="auto"/>
                  <w:vAlign w:val="center"/>
                </w:tcPr>
                <w:p w14:paraId="6DB401E1">
                  <w:pPr>
                    <w:pStyle w:val="4"/>
                    <w:jc w:val="center"/>
                    <w:rPr>
                      <w:sz w:val="15"/>
                      <w:szCs w:val="15"/>
                    </w:rPr>
                  </w:pPr>
                </w:p>
              </w:tc>
              <w:tc>
                <w:tcPr>
                  <w:tcW w:w="655" w:type="dxa"/>
                  <w:gridSpan w:val="2"/>
                  <w:shd w:val="clear" w:color="auto" w:fill="auto"/>
                  <w:vAlign w:val="center"/>
                </w:tcPr>
                <w:p w14:paraId="6F854AC0">
                  <w:pPr>
                    <w:pStyle w:val="4"/>
                    <w:jc w:val="center"/>
                    <w:rPr>
                      <w:sz w:val="15"/>
                      <w:szCs w:val="15"/>
                    </w:rPr>
                  </w:pPr>
                </w:p>
              </w:tc>
              <w:tc>
                <w:tcPr>
                  <w:tcW w:w="791" w:type="dxa"/>
                  <w:gridSpan w:val="3"/>
                  <w:shd w:val="clear" w:color="auto" w:fill="auto"/>
                  <w:vAlign w:val="center"/>
                </w:tcPr>
                <w:p w14:paraId="688FD8C4">
                  <w:pPr>
                    <w:pStyle w:val="4"/>
                    <w:jc w:val="center"/>
                    <w:rPr>
                      <w:sz w:val="15"/>
                      <w:szCs w:val="15"/>
                    </w:rPr>
                  </w:pPr>
                </w:p>
              </w:tc>
              <w:tc>
                <w:tcPr>
                  <w:tcW w:w="848" w:type="dxa"/>
                  <w:gridSpan w:val="2"/>
                  <w:shd w:val="clear" w:color="auto" w:fill="auto"/>
                  <w:vAlign w:val="center"/>
                </w:tcPr>
                <w:p w14:paraId="1FC5B77F">
                  <w:pPr>
                    <w:pStyle w:val="4"/>
                    <w:jc w:val="center"/>
                    <w:rPr>
                      <w:sz w:val="15"/>
                      <w:szCs w:val="15"/>
                    </w:rPr>
                  </w:pPr>
                </w:p>
              </w:tc>
            </w:tr>
            <w:tr w14:paraId="19B0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8226" w:type="dxa"/>
                  <w:gridSpan w:val="21"/>
                  <w:shd w:val="clear" w:color="auto" w:fill="DAE3F4" w:themeFill="accent1" w:themeFillTint="33"/>
                  <w:vAlign w:val="center"/>
                </w:tcPr>
                <w:p w14:paraId="17B8B815">
                  <w:pPr>
                    <w:pStyle w:val="4"/>
                    <w:jc w:val="center"/>
                    <w:rPr>
                      <w:rFonts w:ascii="宋体" w:hAnsi="宋体"/>
                      <w:sz w:val="15"/>
                      <w:szCs w:val="15"/>
                    </w:rPr>
                  </w:pPr>
                  <w:r>
                    <w:rPr>
                      <w:rFonts w:ascii="宋体" w:hAnsi="宋体"/>
                      <w:sz w:val="15"/>
                      <w:szCs w:val="15"/>
                    </w:rPr>
                    <w:t>船舶税源明细</w:t>
                  </w:r>
                </w:p>
              </w:tc>
            </w:tr>
            <w:tr w14:paraId="4BF9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266403DE">
                  <w:pPr>
                    <w:pStyle w:val="4"/>
                    <w:jc w:val="center"/>
                    <w:rPr>
                      <w:sz w:val="15"/>
                      <w:szCs w:val="15"/>
                    </w:rPr>
                  </w:pPr>
                  <w:r>
                    <w:rPr>
                      <w:sz w:val="15"/>
                      <w:szCs w:val="15"/>
                    </w:rPr>
                    <w:t>序号</w:t>
                  </w:r>
                </w:p>
              </w:tc>
              <w:tc>
                <w:tcPr>
                  <w:tcW w:w="365" w:type="dxa"/>
                  <w:shd w:val="clear" w:color="auto" w:fill="auto"/>
                  <w:vAlign w:val="center"/>
                </w:tcPr>
                <w:p w14:paraId="1F2413E3">
                  <w:pPr>
                    <w:pStyle w:val="4"/>
                    <w:jc w:val="center"/>
                    <w:rPr>
                      <w:sz w:val="15"/>
                      <w:szCs w:val="15"/>
                    </w:rPr>
                  </w:pPr>
                  <w:r>
                    <w:rPr>
                      <w:sz w:val="15"/>
                      <w:szCs w:val="15"/>
                    </w:rPr>
                    <w:t>船舶</w:t>
                  </w:r>
                  <w:r>
                    <w:rPr>
                      <w:sz w:val="15"/>
                      <w:szCs w:val="15"/>
                    </w:rPr>
                    <w:br w:type="textWrapping"/>
                  </w:r>
                  <w:r>
                    <w:rPr>
                      <w:sz w:val="15"/>
                      <w:szCs w:val="15"/>
                    </w:rPr>
                    <w:t>登记号</w:t>
                  </w:r>
                </w:p>
              </w:tc>
              <w:tc>
                <w:tcPr>
                  <w:tcW w:w="595" w:type="dxa"/>
                  <w:shd w:val="clear" w:color="auto" w:fill="auto"/>
                  <w:vAlign w:val="center"/>
                </w:tcPr>
                <w:p w14:paraId="0E55BDBE">
                  <w:pPr>
                    <w:pStyle w:val="4"/>
                    <w:jc w:val="center"/>
                    <w:rPr>
                      <w:sz w:val="15"/>
                      <w:szCs w:val="15"/>
                    </w:rPr>
                  </w:pPr>
                  <w:r>
                    <w:rPr>
                      <w:rFonts w:hint="eastAsia"/>
                      <w:sz w:val="15"/>
                      <w:szCs w:val="15"/>
                    </w:rPr>
                    <w:t>*</w:t>
                  </w:r>
                  <w:r>
                    <w:rPr>
                      <w:sz w:val="15"/>
                      <w:szCs w:val="15"/>
                    </w:rPr>
                    <w:t>船舶</w:t>
                  </w:r>
                  <w:r>
                    <w:rPr>
                      <w:sz w:val="15"/>
                      <w:szCs w:val="15"/>
                    </w:rPr>
                    <w:br w:type="textWrapping"/>
                  </w:r>
                  <w:r>
                    <w:rPr>
                      <w:sz w:val="15"/>
                      <w:szCs w:val="15"/>
                    </w:rPr>
                    <w:t>识别号</w:t>
                  </w:r>
                </w:p>
              </w:tc>
              <w:tc>
                <w:tcPr>
                  <w:tcW w:w="531" w:type="dxa"/>
                  <w:shd w:val="clear" w:color="auto" w:fill="auto"/>
                  <w:vAlign w:val="center"/>
                </w:tcPr>
                <w:p w14:paraId="08959B26">
                  <w:pPr>
                    <w:pStyle w:val="4"/>
                    <w:jc w:val="center"/>
                    <w:rPr>
                      <w:sz w:val="15"/>
                      <w:szCs w:val="15"/>
                    </w:rPr>
                  </w:pPr>
                  <w:r>
                    <w:rPr>
                      <w:rFonts w:hint="eastAsia"/>
                      <w:sz w:val="15"/>
                      <w:szCs w:val="15"/>
                    </w:rPr>
                    <w:t>*</w:t>
                  </w:r>
                  <w:r>
                    <w:rPr>
                      <w:sz w:val="15"/>
                      <w:szCs w:val="15"/>
                    </w:rPr>
                    <w:t>船舶种类</w:t>
                  </w:r>
                </w:p>
              </w:tc>
              <w:tc>
                <w:tcPr>
                  <w:tcW w:w="533" w:type="dxa"/>
                  <w:shd w:val="clear" w:color="auto" w:fill="auto"/>
                  <w:vAlign w:val="center"/>
                </w:tcPr>
                <w:p w14:paraId="48B54A45">
                  <w:pPr>
                    <w:pStyle w:val="4"/>
                    <w:jc w:val="center"/>
                    <w:rPr>
                      <w:sz w:val="15"/>
                      <w:szCs w:val="15"/>
                    </w:rPr>
                  </w:pPr>
                  <w:r>
                    <w:rPr>
                      <w:rFonts w:hint="eastAsia"/>
                      <w:sz w:val="15"/>
                      <w:szCs w:val="15"/>
                    </w:rPr>
                    <w:t>*中文船名</w:t>
                  </w:r>
                </w:p>
              </w:tc>
              <w:tc>
                <w:tcPr>
                  <w:tcW w:w="534" w:type="dxa"/>
                  <w:shd w:val="clear" w:color="auto" w:fill="auto"/>
                  <w:vAlign w:val="center"/>
                </w:tcPr>
                <w:p w14:paraId="3221D857">
                  <w:pPr>
                    <w:pStyle w:val="4"/>
                    <w:jc w:val="center"/>
                    <w:rPr>
                      <w:sz w:val="15"/>
                      <w:szCs w:val="15"/>
                    </w:rPr>
                  </w:pPr>
                  <w:r>
                    <w:rPr>
                      <w:sz w:val="15"/>
                      <w:szCs w:val="15"/>
                    </w:rPr>
                    <w:t>初次登记号码</w:t>
                  </w:r>
                </w:p>
              </w:tc>
              <w:tc>
                <w:tcPr>
                  <w:tcW w:w="534" w:type="dxa"/>
                  <w:shd w:val="clear" w:color="auto" w:fill="auto"/>
                  <w:vAlign w:val="center"/>
                </w:tcPr>
                <w:p w14:paraId="62510DEA">
                  <w:pPr>
                    <w:pStyle w:val="4"/>
                    <w:jc w:val="center"/>
                    <w:rPr>
                      <w:sz w:val="15"/>
                      <w:szCs w:val="15"/>
                    </w:rPr>
                  </w:pPr>
                  <w:r>
                    <w:rPr>
                      <w:sz w:val="15"/>
                      <w:szCs w:val="15"/>
                    </w:rPr>
                    <w:t>船籍港</w:t>
                  </w:r>
                </w:p>
              </w:tc>
              <w:tc>
                <w:tcPr>
                  <w:tcW w:w="507" w:type="dxa"/>
                  <w:gridSpan w:val="2"/>
                  <w:shd w:val="clear" w:color="auto" w:fill="auto"/>
                  <w:vAlign w:val="center"/>
                </w:tcPr>
                <w:p w14:paraId="1002A542">
                  <w:pPr>
                    <w:pStyle w:val="4"/>
                    <w:jc w:val="center"/>
                    <w:rPr>
                      <w:sz w:val="15"/>
                      <w:szCs w:val="15"/>
                    </w:rPr>
                  </w:pPr>
                  <w:r>
                    <w:rPr>
                      <w:sz w:val="15"/>
                      <w:szCs w:val="15"/>
                    </w:rPr>
                    <w:t>发证</w:t>
                  </w:r>
                  <w:r>
                    <w:rPr>
                      <w:sz w:val="15"/>
                      <w:szCs w:val="15"/>
                    </w:rPr>
                    <w:br w:type="textWrapping"/>
                  </w:r>
                  <w:r>
                    <w:rPr>
                      <w:sz w:val="15"/>
                      <w:szCs w:val="15"/>
                    </w:rPr>
                    <w:t>日期</w:t>
                  </w:r>
                </w:p>
              </w:tc>
              <w:tc>
                <w:tcPr>
                  <w:tcW w:w="551" w:type="dxa"/>
                  <w:shd w:val="clear" w:color="auto" w:fill="auto"/>
                  <w:vAlign w:val="center"/>
                </w:tcPr>
                <w:p w14:paraId="26B2A69F">
                  <w:pPr>
                    <w:pStyle w:val="4"/>
                    <w:jc w:val="center"/>
                    <w:rPr>
                      <w:sz w:val="15"/>
                      <w:szCs w:val="15"/>
                    </w:rPr>
                  </w:pPr>
                  <w:r>
                    <w:rPr>
                      <w:sz w:val="15"/>
                      <w:szCs w:val="15"/>
                    </w:rPr>
                    <w:t>取得</w:t>
                  </w:r>
                  <w:r>
                    <w:rPr>
                      <w:sz w:val="15"/>
                      <w:szCs w:val="15"/>
                    </w:rPr>
                    <w:br w:type="textWrapping"/>
                  </w:r>
                  <w:r>
                    <w:rPr>
                      <w:sz w:val="15"/>
                      <w:szCs w:val="15"/>
                    </w:rPr>
                    <w:t>所有权日期</w:t>
                  </w:r>
                </w:p>
              </w:tc>
              <w:tc>
                <w:tcPr>
                  <w:tcW w:w="501" w:type="dxa"/>
                  <w:shd w:val="clear" w:color="auto" w:fill="auto"/>
                  <w:vAlign w:val="center"/>
                </w:tcPr>
                <w:p w14:paraId="164916AD">
                  <w:pPr>
                    <w:pStyle w:val="4"/>
                    <w:jc w:val="center"/>
                    <w:rPr>
                      <w:sz w:val="15"/>
                      <w:szCs w:val="15"/>
                    </w:rPr>
                  </w:pPr>
                  <w:r>
                    <w:rPr>
                      <w:sz w:val="15"/>
                      <w:szCs w:val="15"/>
                    </w:rPr>
                    <w:t>建成</w:t>
                  </w:r>
                  <w:r>
                    <w:rPr>
                      <w:sz w:val="15"/>
                      <w:szCs w:val="15"/>
                    </w:rPr>
                    <w:br w:type="textWrapping"/>
                  </w:r>
                  <w:r>
                    <w:rPr>
                      <w:sz w:val="15"/>
                      <w:szCs w:val="15"/>
                    </w:rPr>
                    <w:t>日期</w:t>
                  </w:r>
                </w:p>
              </w:tc>
              <w:tc>
                <w:tcPr>
                  <w:tcW w:w="561" w:type="dxa"/>
                  <w:gridSpan w:val="2"/>
                  <w:shd w:val="clear" w:color="auto" w:fill="auto"/>
                  <w:vAlign w:val="center"/>
                </w:tcPr>
                <w:p w14:paraId="3145E701">
                  <w:pPr>
                    <w:pStyle w:val="4"/>
                    <w:jc w:val="center"/>
                    <w:rPr>
                      <w:sz w:val="15"/>
                      <w:szCs w:val="15"/>
                    </w:rPr>
                  </w:pPr>
                  <w:r>
                    <w:rPr>
                      <w:sz w:val="15"/>
                      <w:szCs w:val="15"/>
                    </w:rPr>
                    <w:t>净吨位</w:t>
                  </w:r>
                </w:p>
              </w:tc>
              <w:tc>
                <w:tcPr>
                  <w:tcW w:w="485" w:type="dxa"/>
                  <w:gridSpan w:val="2"/>
                  <w:shd w:val="clear" w:color="auto" w:fill="auto"/>
                  <w:vAlign w:val="center"/>
                </w:tcPr>
                <w:p w14:paraId="4A0E4F70">
                  <w:pPr>
                    <w:pStyle w:val="4"/>
                    <w:jc w:val="center"/>
                    <w:rPr>
                      <w:sz w:val="15"/>
                      <w:szCs w:val="15"/>
                    </w:rPr>
                  </w:pPr>
                  <w:r>
                    <w:rPr>
                      <w:sz w:val="15"/>
                      <w:szCs w:val="15"/>
                    </w:rPr>
                    <w:t>主机</w:t>
                  </w:r>
                  <w:r>
                    <w:rPr>
                      <w:sz w:val="15"/>
                      <w:szCs w:val="15"/>
                    </w:rPr>
                    <w:br w:type="textWrapping"/>
                  </w:r>
                  <w:r>
                    <w:rPr>
                      <w:sz w:val="15"/>
                      <w:szCs w:val="15"/>
                    </w:rPr>
                    <w:t>功率</w:t>
                  </w:r>
                </w:p>
              </w:tc>
              <w:tc>
                <w:tcPr>
                  <w:tcW w:w="649" w:type="dxa"/>
                  <w:gridSpan w:val="2"/>
                  <w:shd w:val="clear" w:color="auto" w:fill="auto"/>
                  <w:vAlign w:val="center"/>
                </w:tcPr>
                <w:p w14:paraId="1B88DD2F">
                  <w:pPr>
                    <w:pStyle w:val="4"/>
                    <w:jc w:val="center"/>
                    <w:rPr>
                      <w:sz w:val="15"/>
                      <w:szCs w:val="15"/>
                    </w:rPr>
                  </w:pPr>
                  <w:r>
                    <w:rPr>
                      <w:sz w:val="15"/>
                      <w:szCs w:val="15"/>
                    </w:rPr>
                    <w:t>艇身</w:t>
                  </w:r>
                  <w:r>
                    <w:rPr>
                      <w:sz w:val="15"/>
                      <w:szCs w:val="15"/>
                    </w:rPr>
                    <w:br w:type="textWrapping"/>
                  </w:r>
                  <w:r>
                    <w:rPr>
                      <w:sz w:val="15"/>
                      <w:szCs w:val="15"/>
                    </w:rPr>
                    <w:t>长度</w:t>
                  </w:r>
                  <w:r>
                    <w:rPr>
                      <w:sz w:val="15"/>
                      <w:szCs w:val="15"/>
                    </w:rPr>
                    <w:br w:type="textWrapping"/>
                  </w:r>
                  <w:r>
                    <w:rPr>
                      <w:sz w:val="15"/>
                      <w:szCs w:val="15"/>
                    </w:rPr>
                    <w:t>（总长）</w:t>
                  </w:r>
                </w:p>
              </w:tc>
              <w:tc>
                <w:tcPr>
                  <w:tcW w:w="487" w:type="dxa"/>
                  <w:shd w:val="clear" w:color="auto" w:fill="auto"/>
                  <w:vAlign w:val="center"/>
                </w:tcPr>
                <w:p w14:paraId="613386C9">
                  <w:pPr>
                    <w:pStyle w:val="4"/>
                    <w:jc w:val="center"/>
                    <w:rPr>
                      <w:sz w:val="15"/>
                      <w:szCs w:val="15"/>
                    </w:rPr>
                  </w:pPr>
                  <w:r>
                    <w:rPr>
                      <w:rFonts w:hint="eastAsia"/>
                      <w:sz w:val="15"/>
                      <w:szCs w:val="15"/>
                    </w:rPr>
                    <w:t>*单位税额</w:t>
                  </w:r>
                </w:p>
              </w:tc>
              <w:tc>
                <w:tcPr>
                  <w:tcW w:w="615" w:type="dxa"/>
                  <w:gridSpan w:val="2"/>
                  <w:shd w:val="clear" w:color="auto" w:fill="auto"/>
                  <w:vAlign w:val="center"/>
                </w:tcPr>
                <w:p w14:paraId="32CF7E4B">
                  <w:pPr>
                    <w:pStyle w:val="4"/>
                    <w:jc w:val="center"/>
                    <w:rPr>
                      <w:sz w:val="15"/>
                      <w:szCs w:val="15"/>
                    </w:rPr>
                  </w:pPr>
                  <w:r>
                    <w:rPr>
                      <w:sz w:val="15"/>
                      <w:szCs w:val="15"/>
                    </w:rPr>
                    <w:t>减免性质代码和项目名称</w:t>
                  </w:r>
                </w:p>
              </w:tc>
              <w:tc>
                <w:tcPr>
                  <w:tcW w:w="357" w:type="dxa"/>
                  <w:shd w:val="clear" w:color="auto" w:fill="auto"/>
                  <w:vAlign w:val="center"/>
                </w:tcPr>
                <w:p w14:paraId="39D8026B">
                  <w:pPr>
                    <w:pStyle w:val="4"/>
                    <w:jc w:val="center"/>
                    <w:rPr>
                      <w:sz w:val="15"/>
                      <w:szCs w:val="15"/>
                    </w:rPr>
                  </w:pPr>
                  <w:r>
                    <w:rPr>
                      <w:sz w:val="15"/>
                      <w:szCs w:val="15"/>
                    </w:rPr>
                    <w:t>纳税义务终止时间</w:t>
                  </w:r>
                </w:p>
              </w:tc>
            </w:tr>
            <w:tr w14:paraId="68D1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14C1F5F8">
                  <w:pPr>
                    <w:pStyle w:val="4"/>
                    <w:jc w:val="center"/>
                    <w:rPr>
                      <w:sz w:val="15"/>
                      <w:szCs w:val="15"/>
                    </w:rPr>
                  </w:pPr>
                  <w:r>
                    <w:rPr>
                      <w:rFonts w:hint="eastAsia"/>
                      <w:sz w:val="15"/>
                      <w:szCs w:val="15"/>
                    </w:rPr>
                    <w:t>1</w:t>
                  </w:r>
                </w:p>
              </w:tc>
              <w:tc>
                <w:tcPr>
                  <w:tcW w:w="365" w:type="dxa"/>
                  <w:shd w:val="clear" w:color="auto" w:fill="auto"/>
                  <w:vAlign w:val="center"/>
                </w:tcPr>
                <w:p w14:paraId="138AD8DC">
                  <w:pPr>
                    <w:pStyle w:val="4"/>
                    <w:jc w:val="center"/>
                    <w:rPr>
                      <w:sz w:val="15"/>
                      <w:szCs w:val="15"/>
                    </w:rPr>
                  </w:pPr>
                </w:p>
              </w:tc>
              <w:tc>
                <w:tcPr>
                  <w:tcW w:w="595" w:type="dxa"/>
                  <w:shd w:val="clear" w:color="auto" w:fill="auto"/>
                  <w:vAlign w:val="center"/>
                </w:tcPr>
                <w:p w14:paraId="09EABE1C">
                  <w:pPr>
                    <w:pStyle w:val="4"/>
                    <w:jc w:val="center"/>
                    <w:rPr>
                      <w:sz w:val="15"/>
                      <w:szCs w:val="15"/>
                    </w:rPr>
                  </w:pPr>
                </w:p>
              </w:tc>
              <w:tc>
                <w:tcPr>
                  <w:tcW w:w="531" w:type="dxa"/>
                  <w:shd w:val="clear" w:color="auto" w:fill="auto"/>
                  <w:vAlign w:val="center"/>
                </w:tcPr>
                <w:p w14:paraId="1914139A">
                  <w:pPr>
                    <w:pStyle w:val="4"/>
                    <w:jc w:val="center"/>
                    <w:rPr>
                      <w:sz w:val="15"/>
                      <w:szCs w:val="15"/>
                    </w:rPr>
                  </w:pPr>
                </w:p>
              </w:tc>
              <w:tc>
                <w:tcPr>
                  <w:tcW w:w="533" w:type="dxa"/>
                  <w:shd w:val="clear" w:color="auto" w:fill="auto"/>
                  <w:vAlign w:val="center"/>
                </w:tcPr>
                <w:p w14:paraId="0D3E01B1">
                  <w:pPr>
                    <w:pStyle w:val="4"/>
                    <w:jc w:val="center"/>
                    <w:rPr>
                      <w:sz w:val="15"/>
                      <w:szCs w:val="15"/>
                    </w:rPr>
                  </w:pPr>
                </w:p>
              </w:tc>
              <w:tc>
                <w:tcPr>
                  <w:tcW w:w="534" w:type="dxa"/>
                  <w:shd w:val="clear" w:color="auto" w:fill="auto"/>
                  <w:vAlign w:val="center"/>
                </w:tcPr>
                <w:p w14:paraId="215AB8E4">
                  <w:pPr>
                    <w:pStyle w:val="4"/>
                    <w:jc w:val="center"/>
                    <w:rPr>
                      <w:sz w:val="15"/>
                      <w:szCs w:val="15"/>
                    </w:rPr>
                  </w:pPr>
                </w:p>
              </w:tc>
              <w:tc>
                <w:tcPr>
                  <w:tcW w:w="534" w:type="dxa"/>
                  <w:shd w:val="clear" w:color="auto" w:fill="auto"/>
                  <w:vAlign w:val="center"/>
                </w:tcPr>
                <w:p w14:paraId="3DC0816B">
                  <w:pPr>
                    <w:pStyle w:val="4"/>
                    <w:jc w:val="center"/>
                    <w:rPr>
                      <w:sz w:val="15"/>
                      <w:szCs w:val="15"/>
                    </w:rPr>
                  </w:pPr>
                </w:p>
              </w:tc>
              <w:tc>
                <w:tcPr>
                  <w:tcW w:w="507" w:type="dxa"/>
                  <w:gridSpan w:val="2"/>
                  <w:shd w:val="clear" w:color="auto" w:fill="auto"/>
                  <w:vAlign w:val="center"/>
                </w:tcPr>
                <w:p w14:paraId="5E187E6E">
                  <w:pPr>
                    <w:pStyle w:val="4"/>
                    <w:jc w:val="center"/>
                    <w:rPr>
                      <w:sz w:val="15"/>
                      <w:szCs w:val="15"/>
                    </w:rPr>
                  </w:pPr>
                </w:p>
              </w:tc>
              <w:tc>
                <w:tcPr>
                  <w:tcW w:w="551" w:type="dxa"/>
                  <w:shd w:val="clear" w:color="auto" w:fill="auto"/>
                  <w:vAlign w:val="center"/>
                </w:tcPr>
                <w:p w14:paraId="26727549">
                  <w:pPr>
                    <w:pStyle w:val="4"/>
                    <w:jc w:val="center"/>
                    <w:rPr>
                      <w:sz w:val="15"/>
                      <w:szCs w:val="15"/>
                    </w:rPr>
                  </w:pPr>
                </w:p>
              </w:tc>
              <w:tc>
                <w:tcPr>
                  <w:tcW w:w="501" w:type="dxa"/>
                  <w:shd w:val="clear" w:color="auto" w:fill="auto"/>
                  <w:vAlign w:val="center"/>
                </w:tcPr>
                <w:p w14:paraId="33D3A78B">
                  <w:pPr>
                    <w:pStyle w:val="4"/>
                    <w:jc w:val="center"/>
                    <w:rPr>
                      <w:sz w:val="15"/>
                      <w:szCs w:val="15"/>
                    </w:rPr>
                  </w:pPr>
                </w:p>
              </w:tc>
              <w:tc>
                <w:tcPr>
                  <w:tcW w:w="561" w:type="dxa"/>
                  <w:gridSpan w:val="2"/>
                  <w:shd w:val="clear" w:color="auto" w:fill="auto"/>
                  <w:vAlign w:val="center"/>
                </w:tcPr>
                <w:p w14:paraId="6667C22D">
                  <w:pPr>
                    <w:pStyle w:val="4"/>
                    <w:jc w:val="center"/>
                    <w:rPr>
                      <w:sz w:val="15"/>
                      <w:szCs w:val="15"/>
                    </w:rPr>
                  </w:pPr>
                </w:p>
              </w:tc>
              <w:tc>
                <w:tcPr>
                  <w:tcW w:w="485" w:type="dxa"/>
                  <w:gridSpan w:val="2"/>
                  <w:shd w:val="clear" w:color="auto" w:fill="auto"/>
                  <w:vAlign w:val="center"/>
                </w:tcPr>
                <w:p w14:paraId="13577511">
                  <w:pPr>
                    <w:pStyle w:val="4"/>
                    <w:jc w:val="center"/>
                    <w:rPr>
                      <w:sz w:val="15"/>
                      <w:szCs w:val="15"/>
                    </w:rPr>
                  </w:pPr>
                </w:p>
              </w:tc>
              <w:tc>
                <w:tcPr>
                  <w:tcW w:w="649" w:type="dxa"/>
                  <w:gridSpan w:val="2"/>
                  <w:shd w:val="clear" w:color="auto" w:fill="auto"/>
                  <w:vAlign w:val="center"/>
                </w:tcPr>
                <w:p w14:paraId="12E96B46">
                  <w:pPr>
                    <w:pStyle w:val="4"/>
                    <w:jc w:val="center"/>
                    <w:rPr>
                      <w:sz w:val="15"/>
                      <w:szCs w:val="15"/>
                    </w:rPr>
                  </w:pPr>
                </w:p>
              </w:tc>
              <w:tc>
                <w:tcPr>
                  <w:tcW w:w="487" w:type="dxa"/>
                  <w:shd w:val="clear" w:color="auto" w:fill="auto"/>
                  <w:vAlign w:val="center"/>
                </w:tcPr>
                <w:p w14:paraId="1824D83C">
                  <w:pPr>
                    <w:pStyle w:val="4"/>
                    <w:jc w:val="center"/>
                    <w:rPr>
                      <w:sz w:val="15"/>
                      <w:szCs w:val="15"/>
                    </w:rPr>
                  </w:pPr>
                </w:p>
              </w:tc>
              <w:tc>
                <w:tcPr>
                  <w:tcW w:w="615" w:type="dxa"/>
                  <w:gridSpan w:val="2"/>
                  <w:shd w:val="clear" w:color="auto" w:fill="auto"/>
                  <w:vAlign w:val="center"/>
                </w:tcPr>
                <w:p w14:paraId="23E5174D">
                  <w:pPr>
                    <w:pStyle w:val="4"/>
                    <w:jc w:val="center"/>
                    <w:rPr>
                      <w:sz w:val="15"/>
                      <w:szCs w:val="15"/>
                    </w:rPr>
                  </w:pPr>
                </w:p>
              </w:tc>
              <w:tc>
                <w:tcPr>
                  <w:tcW w:w="357" w:type="dxa"/>
                  <w:shd w:val="clear" w:color="auto" w:fill="auto"/>
                  <w:vAlign w:val="center"/>
                </w:tcPr>
                <w:p w14:paraId="7A487A41">
                  <w:pPr>
                    <w:pStyle w:val="4"/>
                    <w:jc w:val="center"/>
                    <w:rPr>
                      <w:sz w:val="15"/>
                      <w:szCs w:val="15"/>
                    </w:rPr>
                  </w:pPr>
                </w:p>
              </w:tc>
            </w:tr>
            <w:tr w14:paraId="7490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4FF3EAB3">
                  <w:pPr>
                    <w:pStyle w:val="4"/>
                    <w:jc w:val="center"/>
                    <w:rPr>
                      <w:sz w:val="15"/>
                      <w:szCs w:val="15"/>
                    </w:rPr>
                  </w:pPr>
                  <w:r>
                    <w:rPr>
                      <w:rFonts w:hint="eastAsia"/>
                      <w:sz w:val="15"/>
                      <w:szCs w:val="15"/>
                    </w:rPr>
                    <w:t>2</w:t>
                  </w:r>
                </w:p>
              </w:tc>
              <w:tc>
                <w:tcPr>
                  <w:tcW w:w="365" w:type="dxa"/>
                  <w:shd w:val="clear" w:color="auto" w:fill="auto"/>
                  <w:vAlign w:val="center"/>
                </w:tcPr>
                <w:p w14:paraId="26B0D71D">
                  <w:pPr>
                    <w:pStyle w:val="4"/>
                    <w:jc w:val="center"/>
                    <w:rPr>
                      <w:sz w:val="15"/>
                      <w:szCs w:val="15"/>
                    </w:rPr>
                  </w:pPr>
                </w:p>
              </w:tc>
              <w:tc>
                <w:tcPr>
                  <w:tcW w:w="595" w:type="dxa"/>
                  <w:shd w:val="clear" w:color="auto" w:fill="auto"/>
                  <w:vAlign w:val="center"/>
                </w:tcPr>
                <w:p w14:paraId="66D0B108">
                  <w:pPr>
                    <w:pStyle w:val="4"/>
                    <w:jc w:val="center"/>
                    <w:rPr>
                      <w:sz w:val="15"/>
                      <w:szCs w:val="15"/>
                    </w:rPr>
                  </w:pPr>
                </w:p>
              </w:tc>
              <w:tc>
                <w:tcPr>
                  <w:tcW w:w="531" w:type="dxa"/>
                  <w:shd w:val="clear" w:color="auto" w:fill="auto"/>
                  <w:vAlign w:val="center"/>
                </w:tcPr>
                <w:p w14:paraId="798DFE66">
                  <w:pPr>
                    <w:pStyle w:val="4"/>
                    <w:jc w:val="center"/>
                    <w:rPr>
                      <w:sz w:val="15"/>
                      <w:szCs w:val="15"/>
                    </w:rPr>
                  </w:pPr>
                </w:p>
              </w:tc>
              <w:tc>
                <w:tcPr>
                  <w:tcW w:w="533" w:type="dxa"/>
                  <w:shd w:val="clear" w:color="auto" w:fill="auto"/>
                  <w:vAlign w:val="center"/>
                </w:tcPr>
                <w:p w14:paraId="2BB88681">
                  <w:pPr>
                    <w:pStyle w:val="4"/>
                    <w:jc w:val="center"/>
                    <w:rPr>
                      <w:sz w:val="15"/>
                      <w:szCs w:val="15"/>
                    </w:rPr>
                  </w:pPr>
                </w:p>
              </w:tc>
              <w:tc>
                <w:tcPr>
                  <w:tcW w:w="534" w:type="dxa"/>
                  <w:shd w:val="clear" w:color="auto" w:fill="auto"/>
                  <w:vAlign w:val="center"/>
                </w:tcPr>
                <w:p w14:paraId="2191FF32">
                  <w:pPr>
                    <w:pStyle w:val="4"/>
                    <w:jc w:val="center"/>
                    <w:rPr>
                      <w:sz w:val="15"/>
                      <w:szCs w:val="15"/>
                    </w:rPr>
                  </w:pPr>
                </w:p>
              </w:tc>
              <w:tc>
                <w:tcPr>
                  <w:tcW w:w="534" w:type="dxa"/>
                  <w:shd w:val="clear" w:color="auto" w:fill="auto"/>
                  <w:vAlign w:val="center"/>
                </w:tcPr>
                <w:p w14:paraId="1A6F13FD">
                  <w:pPr>
                    <w:pStyle w:val="4"/>
                    <w:jc w:val="center"/>
                    <w:rPr>
                      <w:sz w:val="15"/>
                      <w:szCs w:val="15"/>
                    </w:rPr>
                  </w:pPr>
                </w:p>
              </w:tc>
              <w:tc>
                <w:tcPr>
                  <w:tcW w:w="507" w:type="dxa"/>
                  <w:gridSpan w:val="2"/>
                  <w:shd w:val="clear" w:color="auto" w:fill="auto"/>
                  <w:vAlign w:val="center"/>
                </w:tcPr>
                <w:p w14:paraId="618A06BE">
                  <w:pPr>
                    <w:pStyle w:val="4"/>
                    <w:jc w:val="center"/>
                    <w:rPr>
                      <w:sz w:val="15"/>
                      <w:szCs w:val="15"/>
                    </w:rPr>
                  </w:pPr>
                </w:p>
              </w:tc>
              <w:tc>
                <w:tcPr>
                  <w:tcW w:w="551" w:type="dxa"/>
                  <w:shd w:val="clear" w:color="auto" w:fill="auto"/>
                  <w:vAlign w:val="center"/>
                </w:tcPr>
                <w:p w14:paraId="1185C78C">
                  <w:pPr>
                    <w:pStyle w:val="4"/>
                    <w:jc w:val="center"/>
                    <w:rPr>
                      <w:sz w:val="15"/>
                      <w:szCs w:val="15"/>
                    </w:rPr>
                  </w:pPr>
                </w:p>
              </w:tc>
              <w:tc>
                <w:tcPr>
                  <w:tcW w:w="501" w:type="dxa"/>
                  <w:shd w:val="clear" w:color="auto" w:fill="auto"/>
                  <w:vAlign w:val="center"/>
                </w:tcPr>
                <w:p w14:paraId="4969100F">
                  <w:pPr>
                    <w:pStyle w:val="4"/>
                    <w:jc w:val="center"/>
                    <w:rPr>
                      <w:sz w:val="15"/>
                      <w:szCs w:val="15"/>
                    </w:rPr>
                  </w:pPr>
                </w:p>
              </w:tc>
              <w:tc>
                <w:tcPr>
                  <w:tcW w:w="561" w:type="dxa"/>
                  <w:gridSpan w:val="2"/>
                  <w:shd w:val="clear" w:color="auto" w:fill="auto"/>
                  <w:vAlign w:val="center"/>
                </w:tcPr>
                <w:p w14:paraId="4F8CDC5A">
                  <w:pPr>
                    <w:pStyle w:val="4"/>
                    <w:jc w:val="center"/>
                    <w:rPr>
                      <w:sz w:val="15"/>
                      <w:szCs w:val="15"/>
                    </w:rPr>
                  </w:pPr>
                </w:p>
              </w:tc>
              <w:tc>
                <w:tcPr>
                  <w:tcW w:w="485" w:type="dxa"/>
                  <w:gridSpan w:val="2"/>
                  <w:shd w:val="clear" w:color="auto" w:fill="auto"/>
                  <w:vAlign w:val="center"/>
                </w:tcPr>
                <w:p w14:paraId="46BBF3C8">
                  <w:pPr>
                    <w:pStyle w:val="4"/>
                    <w:jc w:val="center"/>
                    <w:rPr>
                      <w:sz w:val="15"/>
                      <w:szCs w:val="15"/>
                    </w:rPr>
                  </w:pPr>
                </w:p>
              </w:tc>
              <w:tc>
                <w:tcPr>
                  <w:tcW w:w="649" w:type="dxa"/>
                  <w:gridSpan w:val="2"/>
                  <w:shd w:val="clear" w:color="auto" w:fill="auto"/>
                  <w:vAlign w:val="center"/>
                </w:tcPr>
                <w:p w14:paraId="0866062B">
                  <w:pPr>
                    <w:pStyle w:val="4"/>
                    <w:jc w:val="center"/>
                    <w:rPr>
                      <w:sz w:val="15"/>
                      <w:szCs w:val="15"/>
                    </w:rPr>
                  </w:pPr>
                </w:p>
              </w:tc>
              <w:tc>
                <w:tcPr>
                  <w:tcW w:w="487" w:type="dxa"/>
                  <w:shd w:val="clear" w:color="auto" w:fill="auto"/>
                  <w:vAlign w:val="center"/>
                </w:tcPr>
                <w:p w14:paraId="56326023">
                  <w:pPr>
                    <w:pStyle w:val="4"/>
                    <w:jc w:val="center"/>
                    <w:rPr>
                      <w:sz w:val="15"/>
                      <w:szCs w:val="15"/>
                    </w:rPr>
                  </w:pPr>
                </w:p>
              </w:tc>
              <w:tc>
                <w:tcPr>
                  <w:tcW w:w="615" w:type="dxa"/>
                  <w:gridSpan w:val="2"/>
                  <w:shd w:val="clear" w:color="auto" w:fill="auto"/>
                  <w:vAlign w:val="center"/>
                </w:tcPr>
                <w:p w14:paraId="02EC83DE">
                  <w:pPr>
                    <w:pStyle w:val="4"/>
                    <w:jc w:val="center"/>
                    <w:rPr>
                      <w:sz w:val="15"/>
                      <w:szCs w:val="15"/>
                    </w:rPr>
                  </w:pPr>
                </w:p>
              </w:tc>
              <w:tc>
                <w:tcPr>
                  <w:tcW w:w="357" w:type="dxa"/>
                  <w:shd w:val="clear" w:color="auto" w:fill="auto"/>
                  <w:vAlign w:val="center"/>
                </w:tcPr>
                <w:p w14:paraId="0098A08C">
                  <w:pPr>
                    <w:pStyle w:val="4"/>
                    <w:jc w:val="center"/>
                    <w:rPr>
                      <w:sz w:val="15"/>
                      <w:szCs w:val="15"/>
                    </w:rPr>
                  </w:pPr>
                </w:p>
              </w:tc>
            </w:tr>
            <w:tr w14:paraId="07E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21" w:type="dxa"/>
                  <w:shd w:val="clear" w:color="auto" w:fill="auto"/>
                  <w:vAlign w:val="center"/>
                </w:tcPr>
                <w:p w14:paraId="05D80D21">
                  <w:pPr>
                    <w:pStyle w:val="4"/>
                    <w:jc w:val="center"/>
                    <w:rPr>
                      <w:sz w:val="15"/>
                      <w:szCs w:val="15"/>
                    </w:rPr>
                  </w:pPr>
                  <w:r>
                    <w:rPr>
                      <w:rFonts w:hint="eastAsia"/>
                      <w:sz w:val="15"/>
                      <w:szCs w:val="15"/>
                    </w:rPr>
                    <w:t>3</w:t>
                  </w:r>
                </w:p>
              </w:tc>
              <w:tc>
                <w:tcPr>
                  <w:tcW w:w="365" w:type="dxa"/>
                  <w:shd w:val="clear" w:color="auto" w:fill="auto"/>
                  <w:vAlign w:val="center"/>
                </w:tcPr>
                <w:p w14:paraId="10294B90">
                  <w:pPr>
                    <w:pStyle w:val="4"/>
                    <w:jc w:val="center"/>
                    <w:rPr>
                      <w:sz w:val="15"/>
                      <w:szCs w:val="15"/>
                    </w:rPr>
                  </w:pPr>
                </w:p>
              </w:tc>
              <w:tc>
                <w:tcPr>
                  <w:tcW w:w="595" w:type="dxa"/>
                  <w:shd w:val="clear" w:color="auto" w:fill="auto"/>
                  <w:vAlign w:val="center"/>
                </w:tcPr>
                <w:p w14:paraId="7755F102">
                  <w:pPr>
                    <w:pStyle w:val="4"/>
                    <w:jc w:val="center"/>
                    <w:rPr>
                      <w:sz w:val="15"/>
                      <w:szCs w:val="15"/>
                    </w:rPr>
                  </w:pPr>
                </w:p>
              </w:tc>
              <w:tc>
                <w:tcPr>
                  <w:tcW w:w="531" w:type="dxa"/>
                  <w:shd w:val="clear" w:color="auto" w:fill="auto"/>
                  <w:vAlign w:val="center"/>
                </w:tcPr>
                <w:p w14:paraId="6BBAD38E">
                  <w:pPr>
                    <w:pStyle w:val="4"/>
                    <w:jc w:val="center"/>
                    <w:rPr>
                      <w:sz w:val="15"/>
                      <w:szCs w:val="15"/>
                    </w:rPr>
                  </w:pPr>
                </w:p>
              </w:tc>
              <w:tc>
                <w:tcPr>
                  <w:tcW w:w="533" w:type="dxa"/>
                  <w:shd w:val="clear" w:color="auto" w:fill="auto"/>
                  <w:vAlign w:val="center"/>
                </w:tcPr>
                <w:p w14:paraId="669B0584">
                  <w:pPr>
                    <w:pStyle w:val="4"/>
                    <w:jc w:val="center"/>
                    <w:rPr>
                      <w:sz w:val="15"/>
                      <w:szCs w:val="15"/>
                    </w:rPr>
                  </w:pPr>
                </w:p>
              </w:tc>
              <w:tc>
                <w:tcPr>
                  <w:tcW w:w="534" w:type="dxa"/>
                  <w:shd w:val="clear" w:color="auto" w:fill="auto"/>
                  <w:vAlign w:val="center"/>
                </w:tcPr>
                <w:p w14:paraId="46D32237">
                  <w:pPr>
                    <w:pStyle w:val="4"/>
                    <w:jc w:val="center"/>
                    <w:rPr>
                      <w:sz w:val="15"/>
                      <w:szCs w:val="15"/>
                    </w:rPr>
                  </w:pPr>
                </w:p>
              </w:tc>
              <w:tc>
                <w:tcPr>
                  <w:tcW w:w="534" w:type="dxa"/>
                  <w:shd w:val="clear" w:color="auto" w:fill="auto"/>
                  <w:vAlign w:val="center"/>
                </w:tcPr>
                <w:p w14:paraId="131EAC36">
                  <w:pPr>
                    <w:pStyle w:val="4"/>
                    <w:jc w:val="center"/>
                    <w:rPr>
                      <w:sz w:val="15"/>
                      <w:szCs w:val="15"/>
                    </w:rPr>
                  </w:pPr>
                </w:p>
              </w:tc>
              <w:tc>
                <w:tcPr>
                  <w:tcW w:w="507" w:type="dxa"/>
                  <w:gridSpan w:val="2"/>
                  <w:shd w:val="clear" w:color="auto" w:fill="auto"/>
                  <w:vAlign w:val="center"/>
                </w:tcPr>
                <w:p w14:paraId="13A0B989">
                  <w:pPr>
                    <w:pStyle w:val="4"/>
                    <w:jc w:val="center"/>
                    <w:rPr>
                      <w:sz w:val="15"/>
                      <w:szCs w:val="15"/>
                    </w:rPr>
                  </w:pPr>
                </w:p>
              </w:tc>
              <w:tc>
                <w:tcPr>
                  <w:tcW w:w="551" w:type="dxa"/>
                  <w:shd w:val="clear" w:color="auto" w:fill="auto"/>
                  <w:vAlign w:val="center"/>
                </w:tcPr>
                <w:p w14:paraId="4B9817FC">
                  <w:pPr>
                    <w:pStyle w:val="4"/>
                    <w:jc w:val="center"/>
                    <w:rPr>
                      <w:sz w:val="15"/>
                      <w:szCs w:val="15"/>
                    </w:rPr>
                  </w:pPr>
                </w:p>
              </w:tc>
              <w:tc>
                <w:tcPr>
                  <w:tcW w:w="501" w:type="dxa"/>
                  <w:shd w:val="clear" w:color="auto" w:fill="auto"/>
                  <w:vAlign w:val="center"/>
                </w:tcPr>
                <w:p w14:paraId="156410B5">
                  <w:pPr>
                    <w:pStyle w:val="4"/>
                    <w:jc w:val="center"/>
                    <w:rPr>
                      <w:sz w:val="15"/>
                      <w:szCs w:val="15"/>
                    </w:rPr>
                  </w:pPr>
                </w:p>
              </w:tc>
              <w:tc>
                <w:tcPr>
                  <w:tcW w:w="561" w:type="dxa"/>
                  <w:gridSpan w:val="2"/>
                  <w:shd w:val="clear" w:color="auto" w:fill="auto"/>
                  <w:vAlign w:val="center"/>
                </w:tcPr>
                <w:p w14:paraId="296A13AC">
                  <w:pPr>
                    <w:pStyle w:val="4"/>
                    <w:jc w:val="center"/>
                    <w:rPr>
                      <w:sz w:val="15"/>
                      <w:szCs w:val="15"/>
                    </w:rPr>
                  </w:pPr>
                </w:p>
              </w:tc>
              <w:tc>
                <w:tcPr>
                  <w:tcW w:w="485" w:type="dxa"/>
                  <w:gridSpan w:val="2"/>
                  <w:shd w:val="clear" w:color="auto" w:fill="auto"/>
                  <w:vAlign w:val="center"/>
                </w:tcPr>
                <w:p w14:paraId="7EE47788">
                  <w:pPr>
                    <w:pStyle w:val="4"/>
                    <w:jc w:val="center"/>
                    <w:rPr>
                      <w:sz w:val="15"/>
                      <w:szCs w:val="15"/>
                    </w:rPr>
                  </w:pPr>
                </w:p>
              </w:tc>
              <w:tc>
                <w:tcPr>
                  <w:tcW w:w="649" w:type="dxa"/>
                  <w:gridSpan w:val="2"/>
                  <w:shd w:val="clear" w:color="auto" w:fill="auto"/>
                  <w:vAlign w:val="center"/>
                </w:tcPr>
                <w:p w14:paraId="0A68D0F4">
                  <w:pPr>
                    <w:pStyle w:val="4"/>
                    <w:jc w:val="center"/>
                    <w:rPr>
                      <w:sz w:val="15"/>
                      <w:szCs w:val="15"/>
                    </w:rPr>
                  </w:pPr>
                </w:p>
              </w:tc>
              <w:tc>
                <w:tcPr>
                  <w:tcW w:w="487" w:type="dxa"/>
                  <w:shd w:val="clear" w:color="auto" w:fill="auto"/>
                  <w:vAlign w:val="center"/>
                </w:tcPr>
                <w:p w14:paraId="3D3E0401">
                  <w:pPr>
                    <w:pStyle w:val="4"/>
                    <w:jc w:val="center"/>
                    <w:rPr>
                      <w:sz w:val="15"/>
                      <w:szCs w:val="15"/>
                    </w:rPr>
                  </w:pPr>
                </w:p>
              </w:tc>
              <w:tc>
                <w:tcPr>
                  <w:tcW w:w="615" w:type="dxa"/>
                  <w:gridSpan w:val="2"/>
                  <w:shd w:val="clear" w:color="auto" w:fill="auto"/>
                  <w:vAlign w:val="center"/>
                </w:tcPr>
                <w:p w14:paraId="3711108D">
                  <w:pPr>
                    <w:pStyle w:val="4"/>
                    <w:jc w:val="center"/>
                    <w:rPr>
                      <w:sz w:val="15"/>
                      <w:szCs w:val="15"/>
                    </w:rPr>
                  </w:pPr>
                </w:p>
              </w:tc>
              <w:tc>
                <w:tcPr>
                  <w:tcW w:w="357" w:type="dxa"/>
                  <w:shd w:val="clear" w:color="auto" w:fill="auto"/>
                  <w:vAlign w:val="center"/>
                </w:tcPr>
                <w:p w14:paraId="5ABF9A0E">
                  <w:pPr>
                    <w:pStyle w:val="4"/>
                    <w:jc w:val="center"/>
                    <w:rPr>
                      <w:sz w:val="15"/>
                      <w:szCs w:val="15"/>
                    </w:rPr>
                  </w:pPr>
                </w:p>
              </w:tc>
            </w:tr>
          </w:tbl>
          <w:p w14:paraId="48FDF2AA">
            <w:pPr>
              <w:spacing w:after="0" w:line="240" w:lineRule="auto"/>
              <w:ind w:firstLine="201" w:firstLineChars="100"/>
              <w:rPr>
                <w:rFonts w:ascii="Times New Roman" w:hAnsi="Times New Roman" w:eastAsia="微软雅黑"/>
                <w:sz w:val="18"/>
              </w:rPr>
            </w:pPr>
            <w:r>
              <w:rPr>
                <w:rFonts w:hint="eastAsia" w:ascii="微软雅黑" w:hAnsi="微软雅黑"/>
                <w:b/>
                <w:color w:val="833C0B"/>
              </w:rPr>
              <w:t>【学生】聆听、思考、理解、</w:t>
            </w:r>
            <w:r>
              <w:rPr>
                <w:rFonts w:ascii="微软雅黑" w:hAnsi="微软雅黑"/>
                <w:b/>
                <w:color w:val="833C0B"/>
              </w:rPr>
              <w:t>记录</w:t>
            </w:r>
          </w:p>
        </w:tc>
      </w:tr>
      <w:tr w14:paraId="176126F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7C37BDE">
            <w:pPr>
              <w:pStyle w:val="4"/>
              <w:jc w:val="center"/>
              <w:rPr>
                <w:rFonts w:hint="eastAsia" w:ascii="微软雅黑" w:hAnsi="微软雅黑" w:eastAsia="微软雅黑"/>
                <w:b/>
                <w:lang w:eastAsia="zh-CN"/>
              </w:rPr>
            </w:pPr>
            <w:r>
              <w:rPr>
                <w:rFonts w:hint="eastAsia" w:ascii="微软雅黑" w:hAnsi="微软雅黑"/>
                <w:b/>
              </w:rPr>
              <w:t>课堂</w:t>
            </w:r>
            <w:r>
              <w:rPr>
                <w:rFonts w:hint="eastAsia" w:ascii="微软雅黑" w:hAnsi="微软雅黑"/>
                <w:b/>
                <w:lang w:val="en-US" w:eastAsia="zh-CN"/>
              </w:rPr>
              <w:t>实践</w:t>
            </w:r>
          </w:p>
        </w:tc>
        <w:tc>
          <w:tcPr>
            <w:tcW w:w="8363" w:type="dxa"/>
            <w:gridSpan w:val="2"/>
            <w:shd w:val="clear" w:color="auto" w:fill="FFFFFF"/>
            <w:vAlign w:val="center"/>
          </w:tcPr>
          <w:p w14:paraId="0AC51129">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单位观看“车船税纳税申报表填写示例”视频，然后计算</w:t>
            </w:r>
            <w:r>
              <w:rPr>
                <w:rFonts w:hint="eastAsia" w:ascii="微软雅黑" w:hAnsi="微软雅黑"/>
                <w:b/>
                <w:color w:val="1F4E79"/>
                <w:lang w:val="en-US" w:eastAsia="zh-CN"/>
              </w:rPr>
              <w:t>该</w:t>
            </w:r>
            <w:r>
              <w:rPr>
                <w:rFonts w:hint="eastAsia" w:ascii="微软雅黑" w:hAnsi="微软雅黑"/>
                <w:b/>
                <w:color w:val="1F4E79"/>
              </w:rPr>
              <w:t>公司应缴纳的车船税税额，并进行</w:t>
            </w:r>
            <w:r>
              <w:rPr>
                <w:rFonts w:hint="eastAsia" w:ascii="微软雅黑" w:hAnsi="微软雅黑"/>
                <w:b/>
                <w:color w:val="1F4E79"/>
                <w:lang w:val="en-US" w:eastAsia="zh-CN"/>
              </w:rPr>
              <w:t>纳税</w:t>
            </w:r>
            <w:r>
              <w:rPr>
                <w:rFonts w:ascii="微软雅黑" w:hAnsi="微软雅黑"/>
                <w:b/>
                <w:color w:val="1F4E79"/>
              </w:rPr>
              <w:t>申报</w:t>
            </w:r>
          </w:p>
          <w:p w14:paraId="0D61956E">
            <w:pPr>
              <w:pStyle w:val="4"/>
              <w:ind w:firstLine="180" w:firstLineChars="1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6C7BBD39">
            <w:pPr>
              <w:pStyle w:val="4"/>
              <w:ind w:firstLine="180" w:firstLineChars="100"/>
              <w:rPr>
                <w:rFonts w:ascii="微软雅黑" w:hAnsi="微软雅黑"/>
                <w:b/>
                <w:color w:val="1F4E79"/>
              </w:rPr>
            </w:pPr>
            <w:r>
              <w:rPr>
                <w:rFonts w:hint="eastAsia" w:ascii="微软雅黑" w:hAnsi="微软雅黑"/>
                <w:b/>
                <w:color w:val="1F4E79"/>
              </w:rPr>
              <w:t>【教师】公布正确答案，并讲解计算和申报</w:t>
            </w:r>
            <w:r>
              <w:rPr>
                <w:rFonts w:ascii="微软雅黑" w:hAnsi="微软雅黑"/>
                <w:b/>
                <w:color w:val="1F4E79"/>
              </w:rPr>
              <w:t>步骤</w:t>
            </w:r>
          </w:p>
          <w:p w14:paraId="15F23571">
            <w:pPr>
              <w:pStyle w:val="4"/>
              <w:ind w:left="200" w:leftChars="100" w:firstLine="180" w:firstLineChars="100"/>
              <w:rPr>
                <w:rFonts w:hint="eastAsia"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计算公司当年应缴纳的车船税税额。</w:t>
            </w:r>
          </w:p>
          <w:p w14:paraId="216DE347">
            <w:pPr>
              <w:pStyle w:val="4"/>
              <w:ind w:left="200" w:leftChars="100" w:firstLine="180" w:firstLineChars="1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en-US" w:eastAsia="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对车船税进行纳税申报。</w:t>
            </w:r>
          </w:p>
          <w:p w14:paraId="056BB023">
            <w:pPr>
              <w:pStyle w:val="4"/>
              <w:ind w:firstLine="360" w:firstLineChars="200"/>
              <w:rPr>
                <w:rFonts w:ascii="微软雅黑" w:hAnsi="微软雅黑"/>
                <w:color w:val="1F4E79"/>
              </w:rPr>
            </w:pPr>
            <w:r>
              <w:rPr>
                <w:rFonts w:hint="eastAsia" w:ascii="微软雅黑" w:hAnsi="微软雅黑"/>
                <w:kern w:val="2"/>
                <w:szCs w:val="18"/>
                <w:lang w:val="zh-CN" w:eastAsia="zh-CN"/>
              </w:rPr>
              <w:t>填写《车船税税源明细表》与《财产和行为税纳税申报表》。</w:t>
            </w:r>
          </w:p>
          <w:p w14:paraId="4B86FBAF">
            <w:pPr>
              <w:pStyle w:val="4"/>
              <w:ind w:left="200" w:leftChars="100" w:firstLine="180" w:firstLineChars="100"/>
              <w:rPr>
                <w:rFonts w:hint="eastAsia" w:ascii="微软雅黑" w:hAnsi="微软雅黑"/>
                <w:kern w:val="2"/>
                <w:szCs w:val="18"/>
                <w:lang w:val="zh-CN" w:eastAsia="zh-CN"/>
              </w:rPr>
            </w:pPr>
            <w:r>
              <w:rPr>
                <w:rFonts w:hint="eastAsia" w:ascii="微软雅黑" w:hAnsi="微软雅黑" w:eastAsia="微软雅黑"/>
                <w:b/>
                <w:color w:val="833C0B"/>
                <w:sz w:val="18"/>
              </w:rPr>
              <w:t>【学生】聆听、思考、理解、记录</w:t>
            </w:r>
          </w:p>
          <w:p w14:paraId="75252F3B">
            <w:pPr>
              <w:pStyle w:val="4"/>
              <w:ind w:firstLine="180" w:firstLineChars="100"/>
            </w:pPr>
            <w:bookmarkStart w:id="0" w:name="_GoBack"/>
            <w:bookmarkEnd w:id="0"/>
          </w:p>
        </w:tc>
      </w:tr>
      <w:tr w14:paraId="3A348A9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35F7C62">
            <w:pPr>
              <w:pStyle w:val="4"/>
              <w:jc w:val="center"/>
            </w:pPr>
            <w:r>
              <w:rPr>
                <w:rFonts w:hint="eastAsia" w:ascii="微软雅黑" w:hAnsi="微软雅黑"/>
                <w:b/>
              </w:rPr>
              <w:t>课堂小结</w:t>
            </w:r>
          </w:p>
        </w:tc>
        <w:tc>
          <w:tcPr>
            <w:tcW w:w="8363" w:type="dxa"/>
            <w:gridSpan w:val="2"/>
            <w:shd w:val="clear" w:color="auto" w:fill="FFFFFF"/>
            <w:vAlign w:val="center"/>
          </w:tcPr>
          <w:p w14:paraId="018229F9">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7A80F540">
            <w:pPr>
              <w:pStyle w:val="4"/>
              <w:ind w:firstLine="360" w:firstLineChars="200"/>
            </w:pPr>
            <w:r>
              <w:rPr>
                <w:rFonts w:hint="eastAsia"/>
                <w:lang w:val="en-US" w:eastAsia="zh-CN"/>
              </w:rPr>
              <w:t>车船</w:t>
            </w:r>
            <w:r>
              <w:rPr>
                <w:rFonts w:hint="eastAsia"/>
              </w:rPr>
              <w:t>税的纳税人与征税范围</w:t>
            </w:r>
            <w:r>
              <w:t>、税率和税收优惠</w:t>
            </w:r>
          </w:p>
          <w:p w14:paraId="09493F84">
            <w:pPr>
              <w:pStyle w:val="4"/>
              <w:ind w:firstLine="360" w:firstLineChars="200"/>
              <w:rPr>
                <w:rFonts w:hint="eastAsia"/>
                <w:lang w:val="en-US" w:eastAsia="zh-CN"/>
              </w:rPr>
            </w:pPr>
            <w:r>
              <w:rPr>
                <w:rFonts w:hint="eastAsia"/>
                <w:lang w:val="en-US" w:eastAsia="zh-CN"/>
              </w:rPr>
              <w:t>车船</w:t>
            </w:r>
            <w:r>
              <w:rPr>
                <w:rFonts w:hint="eastAsia"/>
              </w:rPr>
              <w:t>税</w:t>
            </w:r>
            <w:r>
              <w:rPr>
                <w:rFonts w:hint="eastAsia"/>
                <w:lang w:val="en-US" w:eastAsia="zh-CN"/>
              </w:rPr>
              <w:t>应纳税额</w:t>
            </w:r>
            <w:r>
              <w:rPr>
                <w:rFonts w:hint="eastAsia"/>
              </w:rPr>
              <w:t>的</w:t>
            </w:r>
            <w:r>
              <w:rPr>
                <w:rFonts w:hint="eastAsia"/>
                <w:lang w:val="en-US" w:eastAsia="zh-CN"/>
              </w:rPr>
              <w:t>计算</w:t>
            </w:r>
          </w:p>
          <w:p w14:paraId="2A63FFCD">
            <w:pPr>
              <w:pStyle w:val="4"/>
              <w:ind w:firstLine="360" w:firstLineChars="200"/>
              <w:rPr>
                <w:rFonts w:hint="default"/>
                <w:lang w:val="en-US" w:eastAsia="zh-CN"/>
              </w:rPr>
            </w:pPr>
            <w:r>
              <w:rPr>
                <w:rFonts w:hint="eastAsia"/>
                <w:lang w:val="en-US" w:eastAsia="zh-CN"/>
              </w:rPr>
              <w:t>车船税纳税申报</w:t>
            </w:r>
          </w:p>
          <w:p w14:paraId="500BB64C">
            <w:pPr>
              <w:pStyle w:val="4"/>
              <w:ind w:firstLine="180" w:firstLineChars="100"/>
            </w:pPr>
            <w:r>
              <w:rPr>
                <w:rFonts w:hint="eastAsia" w:ascii="微软雅黑" w:hAnsi="微软雅黑"/>
                <w:b/>
                <w:color w:val="833C0B"/>
              </w:rPr>
              <w:t>【学生】总结回顾知识点</w:t>
            </w:r>
          </w:p>
        </w:tc>
      </w:tr>
      <w:tr w14:paraId="12B2417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AE887D1">
            <w:pPr>
              <w:pStyle w:val="4"/>
              <w:jc w:val="center"/>
            </w:pPr>
            <w:r>
              <w:rPr>
                <w:rFonts w:hint="eastAsia" w:ascii="微软雅黑" w:hAnsi="微软雅黑"/>
                <w:b/>
              </w:rPr>
              <w:t>作业布置</w:t>
            </w:r>
          </w:p>
        </w:tc>
        <w:tc>
          <w:tcPr>
            <w:tcW w:w="8363" w:type="dxa"/>
            <w:gridSpan w:val="2"/>
            <w:shd w:val="clear" w:color="auto" w:fill="FFFFFF"/>
            <w:vAlign w:val="center"/>
          </w:tcPr>
          <w:p w14:paraId="0018668C">
            <w:pPr>
              <w:pStyle w:val="4"/>
              <w:ind w:left="200" w:leftChars="100"/>
              <w:rPr>
                <w:rFonts w:ascii="微软雅黑" w:hAnsi="微软雅黑"/>
                <w:b/>
                <w:color w:val="1F4E79"/>
              </w:rPr>
            </w:pPr>
            <w:r>
              <w:rPr>
                <w:rFonts w:hint="eastAsia" w:ascii="微软雅黑" w:hAnsi="微软雅黑"/>
                <w:b/>
                <w:color w:val="1F4E79"/>
              </w:rPr>
              <w:t>【教师】布置课后作业</w:t>
            </w:r>
          </w:p>
          <w:p w14:paraId="22B85081">
            <w:pPr>
              <w:pStyle w:val="4"/>
              <w:ind w:firstLine="360" w:firstLineChars="200"/>
              <w:jc w:val="both"/>
              <w:rPr>
                <w:rFonts w:hint="default" w:eastAsia="微软雅黑"/>
                <w:lang w:val="en-US" w:eastAsia="zh-CN"/>
              </w:rPr>
            </w:pPr>
            <w:r>
              <w:rPr>
                <w:rFonts w:hint="eastAsia"/>
                <w:lang w:val="en-US" w:eastAsia="zh-CN"/>
              </w:rPr>
              <w:t>见配套习题与实训</w:t>
            </w:r>
          </w:p>
          <w:p w14:paraId="2C37926F">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7A7B848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519468A5">
            <w:pPr>
              <w:pStyle w:val="4"/>
              <w:jc w:val="center"/>
            </w:pPr>
            <w:r>
              <w:rPr>
                <w:rFonts w:hint="eastAsia" w:ascii="微软雅黑" w:hAnsi="微软雅黑"/>
                <w:b/>
              </w:rPr>
              <w:t>教学反思</w:t>
            </w:r>
          </w:p>
        </w:tc>
        <w:tc>
          <w:tcPr>
            <w:tcW w:w="8363" w:type="dxa"/>
            <w:gridSpan w:val="2"/>
            <w:shd w:val="clear" w:color="auto" w:fill="FFFFFF"/>
            <w:vAlign w:val="center"/>
          </w:tcPr>
          <w:p w14:paraId="077E6D19">
            <w:pPr>
              <w:pStyle w:val="4"/>
              <w:ind w:firstLine="360" w:firstLineChars="200"/>
            </w:pPr>
          </w:p>
          <w:p w14:paraId="70A9D914">
            <w:pPr>
              <w:pStyle w:val="4"/>
              <w:ind w:firstLine="360" w:firstLineChars="200"/>
            </w:pPr>
          </w:p>
          <w:p w14:paraId="2D17444C">
            <w:pPr>
              <w:pStyle w:val="4"/>
              <w:ind w:firstLine="360" w:firstLineChars="200"/>
            </w:pPr>
          </w:p>
          <w:p w14:paraId="54F96684">
            <w:pPr>
              <w:pStyle w:val="4"/>
              <w:ind w:firstLine="360" w:firstLineChars="200"/>
            </w:pPr>
          </w:p>
        </w:tc>
      </w:tr>
    </w:tbl>
    <w:p w14:paraId="2DA6D6B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DE2FEE"/>
    <w:rsid w:val="480C6C1E"/>
    <w:rsid w:val="6F816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3856</Words>
  <Characters>4002</Characters>
  <Lines>0</Lines>
  <Paragraphs>0</Paragraphs>
  <TotalTime>4</TotalTime>
  <ScaleCrop>false</ScaleCrop>
  <LinksUpToDate>false</LinksUpToDate>
  <CharactersWithSpaces>4035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2025-03-03T02:50:00Z</dcterms:created>
  <dc:creator>admin</dc:creator>
  <cp:lastModifiedBy>星回°</cp:lastModifiedBy>
  <dcterms:modified xsi:type="dcterms:W3CDTF">2025-03-04T11:26:17Z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15F5E1A936324295A73E8D326A198628_12</vt:lpwstr>
  </property>
</Properties>
</file>